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7.jpg" ContentType="image/jpeg"/>
  <Override PartName="/word/media/rId49.jpg" ContentType="image/jpeg"/>
  <Override PartName="/word/media/rId21.jpg" ContentType="image/jpeg"/>
  <Override PartName="/word/media/rId24.jpg" ContentType="image/jpeg"/>
  <Override PartName="/word/media/rId62.jpg" ContentType="image/jpeg"/>
  <Override PartName="/word/media/rId56.jpg" ContentType="image/jpeg"/>
  <Override PartName="/word/media/rId59.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Generative AI at work</w:t>
      </w:r>
      <w:r>
        <w:br/>
      </w:r>
      <w:r>
        <w:br/>
      </w:r>
      <w:r>
        <w:rPr>
          <w:i/>
          <w:iCs/>
        </w:rPr>
        <w:t xml:space="preserve">Quarterly Journal of Economics</w:t>
      </w:r>
      <w:r>
        <w:br/>
      </w:r>
      <w:r>
        <w:t xml:space="preserve">2025 (Volume 133), June (No.6)</w:t>
      </w:r>
    </w:p>
    <w:p>
      <w:pPr>
        <w:pStyle w:val="Author"/>
      </w:pPr>
      <w:r>
        <w:t xml:space="preserve">Brynjolfsson, Li, Raymond</w:t>
      </w:r>
    </w:p>
    <w:p>
      <w:pPr>
        <w:pStyle w:val="Date"/>
      </w:pPr>
      <w:r>
        <w:t xml:space="preserve">August 22, 2025, 11:08 +0000</w:t>
      </w:r>
    </w:p>
    <w:p>
      <w:pPr>
        <w:pStyle w:val="FirstParagraph"/>
      </w:pPr>
      <w:hyperlink r:id="rId20">
        <w:r>
          <w:rPr>
            <w:rStyle w:val="Hyperlink"/>
          </w:rPr>
          <w:t xml:space="preserve">doi.org/10.1086/734780</w:t>
        </w:r>
      </w:hyperlink>
    </w:p>
    <w:bookmarkStart w:id="27" w:name="tl-dr"/>
    <w:p>
      <w:pPr>
        <w:pStyle w:val="Heading2"/>
      </w:pPr>
      <w:r>
        <w:t xml:space="preserve">TL; DR</w:t>
      </w:r>
    </w:p>
    <w:p>
      <w:pPr>
        <w:pStyle w:val="FirstParagraph"/>
      </w:pPr>
      <w:r>
        <w:drawing>
          <wp:inline>
            <wp:extent cx="5334000" cy="4580498"/>
            <wp:effectExtent b="0" l="0" r="0" t="0"/>
            <wp:docPr descr="" title="" id="22" name="Picture"/>
            <a:graphic>
              <a:graphicData uri="http://schemas.openxmlformats.org/drawingml/2006/picture">
                <pic:pic>
                  <pic:nvPicPr>
                    <pic:cNvPr descr="FigAIV.jpg" id="23" name="Picture"/>
                    <pic:cNvPicPr>
                      <a:picLocks noChangeArrowheads="1" noChangeAspect="1"/>
                    </pic:cNvPicPr>
                  </pic:nvPicPr>
                  <pic:blipFill>
                    <a:blip r:embed="rId21"/>
                    <a:stretch>
                      <a:fillRect/>
                    </a:stretch>
                  </pic:blipFill>
                  <pic:spPr bwMode="auto">
                    <a:xfrm>
                      <a:off x="0" y="0"/>
                      <a:ext cx="5334000" cy="4580498"/>
                    </a:xfrm>
                    <a:prstGeom prst="rect">
                      <a:avLst/>
                    </a:prstGeom>
                    <a:noFill/>
                    <a:ln w="9525">
                      <a:noFill/>
                      <a:headEnd/>
                      <a:tailEnd/>
                    </a:ln>
                  </pic:spPr>
                </pic:pic>
              </a:graphicData>
            </a:graphic>
          </wp:inline>
        </w:drawing>
      </w:r>
    </w:p>
    <w:p>
      <w:pPr>
        <w:pStyle w:val="BodyText"/>
      </w:pPr>
      <w:r>
        <w:drawing>
          <wp:inline>
            <wp:extent cx="5334000" cy="4917369"/>
            <wp:effectExtent b="0" l="0" r="0" t="0"/>
            <wp:docPr descr="" title="" id="25" name="Picture"/>
            <a:graphic>
              <a:graphicData uri="http://schemas.openxmlformats.org/drawingml/2006/picture">
                <pic:pic>
                  <pic:nvPicPr>
                    <pic:cNvPr descr="FigAVII.jpg" id="26" name="Picture"/>
                    <pic:cNvPicPr>
                      <a:picLocks noChangeArrowheads="1" noChangeAspect="1"/>
                    </pic:cNvPicPr>
                  </pic:nvPicPr>
                  <pic:blipFill>
                    <a:blip r:embed="rId24"/>
                    <a:stretch>
                      <a:fillRect/>
                    </a:stretch>
                  </pic:blipFill>
                  <pic:spPr bwMode="auto">
                    <a:xfrm>
                      <a:off x="0" y="0"/>
                      <a:ext cx="5334000" cy="4917369"/>
                    </a:xfrm>
                    <a:prstGeom prst="rect">
                      <a:avLst/>
                    </a:prstGeom>
                    <a:noFill/>
                    <a:ln w="9525">
                      <a:noFill/>
                      <a:headEnd/>
                      <a:tailEnd/>
                    </a:ln>
                  </pic:spPr>
                </pic:pic>
              </a:graphicData>
            </a:graphic>
          </wp:inline>
        </w:drawing>
      </w:r>
    </w:p>
    <w:p>
      <w:pPr>
        <w:pStyle w:val="Compact"/>
        <w:numPr>
          <w:ilvl w:val="0"/>
          <w:numId w:val="1001"/>
        </w:numPr>
      </w:pPr>
      <w:r>
        <w:t xml:space="preserve">Context: Software customer service chat agents←AI assistance</w:t>
      </w:r>
    </w:p>
    <w:p>
      <w:pPr>
        <w:pStyle w:val="Compact"/>
        <w:numPr>
          <w:ilvl w:val="0"/>
          <w:numId w:val="1001"/>
        </w:numPr>
      </w:pPr>
      <w:r>
        <w:t xml:space="preserve">Estimation: Staggered rollout DID</w:t>
      </w:r>
    </w:p>
    <w:p>
      <w:pPr>
        <w:pStyle w:val="Compact"/>
        <w:numPr>
          <w:ilvl w:val="0"/>
          <w:numId w:val="1001"/>
        </w:numPr>
      </w:pPr>
      <w:r>
        <w:t xml:space="preserve">GPT-3 based assistance ⇒ resolutions per hour↑</w:t>
      </w:r>
    </w:p>
    <w:p>
      <w:pPr>
        <w:pStyle w:val="Compact"/>
        <w:numPr>
          <w:ilvl w:val="0"/>
          <w:numId w:val="1001"/>
        </w:numPr>
      </w:pPr>
      <w:r>
        <w:t xml:space="preserve">Resolutions per hour↑ is largest among the least skilled workers</w:t>
      </w:r>
    </w:p>
    <w:p>
      <w:pPr>
        <w:pStyle w:val="Compact"/>
        <w:numPr>
          <w:ilvl w:val="1"/>
          <w:numId w:val="1002"/>
        </w:numPr>
      </w:pPr>
      <w:r>
        <w:t xml:space="preserve">Productivity distribution dispersion↓</w:t>
      </w:r>
    </w:p>
    <w:p>
      <w:pPr>
        <w:pStyle w:val="Compact"/>
        <w:numPr>
          <w:ilvl w:val="0"/>
          <w:numId w:val="1001"/>
        </w:numPr>
      </w:pPr>
      <w:r>
        <w:t xml:space="preserve">Adherence rate↑ ⇒ productivity↑</w:t>
      </w:r>
    </w:p>
    <w:p>
      <w:pPr>
        <w:pStyle w:val="Compact"/>
        <w:numPr>
          <w:ilvl w:val="0"/>
          <w:numId w:val="1001"/>
        </w:numPr>
      </w:pPr>
      <w:r>
        <w:t xml:space="preserve">Mechanism:</w:t>
      </w:r>
    </w:p>
    <w:p>
      <w:pPr>
        <w:pStyle w:val="Compact"/>
        <w:numPr>
          <w:ilvl w:val="1"/>
          <w:numId w:val="1003"/>
        </w:numPr>
      </w:pPr>
      <w:r>
        <w:t xml:space="preserve">Agents learn usefulness of AI ⇒ adherence ⇒ durable learning</w:t>
      </w:r>
    </w:p>
    <w:p>
      <w:pPr>
        <w:pStyle w:val="Compact"/>
        <w:numPr>
          <w:ilvl w:val="1"/>
          <w:numId w:val="1003"/>
        </w:numPr>
      </w:pPr>
      <w:r>
        <w:t xml:space="preserve">Fewer turnovers (quits) of relatively new agents</w:t>
      </w:r>
    </w:p>
    <w:p>
      <w:pPr>
        <w:pStyle w:val="Compact"/>
        <w:numPr>
          <w:ilvl w:val="1"/>
          <w:numId w:val="1003"/>
        </w:numPr>
      </w:pPr>
      <w:r>
        <w:t xml:space="preserve">Larger impacts on lower skilled←AI suggestions←high productivity worker data</w:t>
      </w:r>
    </w:p>
    <w:p>
      <w:pPr>
        <w:pStyle w:val="Compact"/>
        <w:numPr>
          <w:ilvl w:val="0"/>
          <w:numId w:val="1001"/>
        </w:numPr>
      </w:pPr>
      <w:r>
        <w:t xml:space="preserve">External validity:</w:t>
      </w:r>
    </w:p>
    <w:p>
      <w:pPr>
        <w:pStyle w:val="Compact"/>
        <w:numPr>
          <w:ilvl w:val="1"/>
          <w:numId w:val="1004"/>
        </w:numPr>
      </w:pPr>
      <w:r>
        <w:t xml:space="preserve">A text-based, stable set of tasks</w:t>
      </w:r>
    </w:p>
    <w:p>
      <w:pPr>
        <w:pStyle w:val="Compact"/>
        <w:numPr>
          <w:ilvl w:val="1"/>
          <w:numId w:val="1004"/>
        </w:numPr>
      </w:pPr>
      <w:r>
        <w:t xml:space="preserve">Skill-augmenting/replacing role of AI</w:t>
      </w:r>
    </w:p>
    <w:bookmarkEnd w:id="27"/>
    <w:bookmarkStart w:id="33" w:name="introduction"/>
    <w:p>
      <w:pPr>
        <w:pStyle w:val="Heading2"/>
      </w:pPr>
      <w:r>
        <w:t xml:space="preserve">Introduction</w:t>
      </w:r>
    </w:p>
    <w:p>
      <w:pPr>
        <w:pStyle w:val="FirstParagraph"/>
      </w:pPr>
      <w:r>
        <w:t xml:space="preserve">Context</w:t>
      </w:r>
    </w:p>
    <w:p>
      <w:pPr>
        <w:pStyle w:val="Compact"/>
        <w:numPr>
          <w:ilvl w:val="0"/>
          <w:numId w:val="1005"/>
        </w:numPr>
      </w:pPr>
      <w:r>
        <w:t xml:space="preserve">ICT=skill-biased technical change ⇒ high-skilled worker demand↑</w:t>
      </w:r>
    </w:p>
    <w:p>
      <w:pPr>
        <w:pStyle w:val="Compact"/>
        <w:numPr>
          <w:ilvl w:val="0"/>
          <w:numId w:val="1005"/>
        </w:numPr>
      </w:pPr>
      <w:r>
        <w:t xml:space="preserve">Machine learning (</w:t>
      </w:r>
      <m:oMath>
        <m:r>
          <m:rPr>
            <m:sty m:val="p"/>
          </m:rPr>
          <m:t>⊂</m:t>
        </m:r>
      </m:oMath>
      <w:r>
        <w:t xml:space="preserve"> </w:t>
      </w:r>
      <w:r>
        <w:t xml:space="preserve">generative AI) can be skill-augmenting/replacing ⇒ high-skilled worker demand↓(?)</w:t>
      </w:r>
    </w:p>
    <w:p>
      <w:pPr>
        <w:pStyle w:val="Compact"/>
        <w:numPr>
          <w:ilvl w:val="1"/>
          <w:numId w:val="1006"/>
        </w:numPr>
      </w:pPr>
      <w:r>
        <w:t xml:space="preserve">ML guesses solutions from data without instructions</w:t>
      </w:r>
    </w:p>
    <w:p>
      <w:pPr>
        <w:pStyle w:val="Compact"/>
        <w:numPr>
          <w:ilvl w:val="1"/>
          <w:numId w:val="1006"/>
        </w:numPr>
      </w:pPr>
      <w:r>
        <w:t xml:space="preserve">Inputs (customer query, etc.)→actions for better outcomes</w:t>
      </w:r>
    </w:p>
    <w:p>
      <w:pPr>
        <w:pStyle w:val="Compact"/>
        <w:numPr>
          <w:ilvl w:val="2"/>
          <w:numId w:val="1007"/>
        </w:numPr>
      </w:pPr>
      <w:r>
        <w:t xml:space="preserve">Sits well with non-routine tasks</w:t>
      </w:r>
    </w:p>
    <w:p>
      <w:pPr>
        <w:pStyle w:val="Compact"/>
        <w:numPr>
          <w:ilvl w:val="2"/>
          <w:numId w:val="1007"/>
        </w:numPr>
      </w:pPr>
      <w:r>
        <w:t xml:space="preserve">White collar skills can be replaced</w:t>
      </w:r>
    </w:p>
    <w:p>
      <w:pPr>
        <w:pStyle w:val="FirstParagraph"/>
      </w:pPr>
      <w:r>
        <w:t xml:space="preserve">Will it decrease/increase employment/wages of low/high skilled? Not shown</w:t>
      </w:r>
      <w:r>
        <w:rPr>
          <w:rStyle w:val="FootnoteReference"/>
        </w:rPr>
        <w:footnoteReference w:id="28"/>
      </w:r>
    </w:p>
    <w:p>
      <w:pPr>
        <w:pStyle w:val="BodyText"/>
      </w:pPr>
      <w:r>
        <w:t xml:space="preserve">Using skills augmenting</w:t>
      </w:r>
      <w:r>
        <w:rPr>
          <w:rStyle w:val="FootnoteReference"/>
        </w:rPr>
        <w:footnoteReference w:id="29"/>
      </w:r>
      <w:r>
        <w:t xml:space="preserve"> </w:t>
      </w:r>
      <w:r>
        <w:t xml:space="preserve">AI chatbots on software customer service agents, the paper shows they replace (a part of) skills on problem diagnosis, knowledge retrieval, and customer communications</w:t>
      </w:r>
    </w:p>
    <w:p>
      <w:pPr>
        <w:pStyle w:val="Compact"/>
        <w:numPr>
          <w:ilvl w:val="0"/>
          <w:numId w:val="1008"/>
        </w:numPr>
      </w:pPr>
      <w:r>
        <w:t xml:space="preserve">This is exactly what was intended, so no surprise here</w:t>
      </w:r>
      <w:r>
        <w:rPr>
          <w:rStyle w:val="FootnoteReference"/>
        </w:rPr>
        <w:footnoteReference w:id="30"/>
      </w:r>
    </w:p>
    <w:p>
      <w:pPr>
        <w:pStyle w:val="Compact"/>
        <w:numPr>
          <w:ilvl w:val="0"/>
          <w:numId w:val="1008"/>
        </w:numPr>
      </w:pPr>
      <w:r>
        <w:t xml:space="preserve">It boosts productivity of low skilled workers more than high skilled</w:t>
      </w:r>
    </w:p>
    <w:p>
      <w:pPr>
        <w:pStyle w:val="Compact"/>
        <w:numPr>
          <w:ilvl w:val="0"/>
          <w:numId w:val="1008"/>
        </w:numPr>
      </w:pPr>
      <w:r>
        <w:t xml:space="preserve">But this is already shown in previous studies</w:t>
      </w:r>
    </w:p>
    <w:p>
      <w:pPr>
        <w:pStyle w:val="Compact"/>
        <w:numPr>
          <w:ilvl w:val="1"/>
          <w:numId w:val="1009"/>
        </w:numPr>
      </w:pPr>
      <w:r>
        <w:t xml:space="preserve">This paper showed more comprehensively in real business environment</w:t>
      </w:r>
    </w:p>
    <w:p>
      <w:pPr>
        <w:pStyle w:val="FirstParagraph"/>
      </w:pPr>
      <w:r>
        <w:t xml:space="preserve">Click here to see a summary comparison table with previous work.</w:t>
      </w:r>
    </w:p>
    <w:tbl>
      <w:tblPr>
        <w:tblStyle w:val="Table"/>
        <w:tblW w:type="pct" w:w="5000"/>
        <w:tblLayout w:type="fixed"/>
        <w:tblLook w:firstRow="1" w:lastRow="0" w:firstColumn="0" w:lastColumn="0" w:noHBand="0" w:noVBand="0" w:val="0020"/>
      </w:tblPr>
      <w:tblGrid>
        <w:gridCol w:w="1267"/>
        <w:gridCol w:w="316"/>
        <w:gridCol w:w="1267"/>
        <w:gridCol w:w="1267"/>
        <w:gridCol w:w="1267"/>
        <w:gridCol w:w="1267"/>
        <w:gridCol w:w="1267"/>
      </w:tblGrid>
      <w:tr>
        <w:trPr>
          <w:tblHeader w:val="on"/>
        </w:trPr>
        <w:tc>
          <w:tcPr/>
          <w:p>
            <w:pPr>
              <w:pStyle w:val="Compact"/>
              <w:jc w:val="right"/>
            </w:pPr>
            <w:r>
              <w:t xml:space="preserve">feature</w:t>
            </w:r>
          </w:p>
        </w:tc>
        <w:tc>
          <w:tcPr/>
          <w:p>
            <w:pPr>
              <w:pStyle w:val="Compact"/>
            </w:pPr>
          </w:p>
        </w:tc>
        <w:tc>
          <w:tcPr/>
          <w:p>
            <w:pPr>
              <w:pStyle w:val="Compact"/>
              <w:jc w:val="left"/>
            </w:pPr>
            <w:r>
              <w:t xml:space="preserve">Brynjolfsson et al. (2025)</w:t>
            </w:r>
          </w:p>
        </w:tc>
        <w:tc>
          <w:tcPr/>
          <w:p>
            <w:pPr>
              <w:pStyle w:val="Compact"/>
              <w:jc w:val="left"/>
            </w:pPr>
            <w:r>
              <w:t xml:space="preserve">Noy &amp; Zhang (2023)</w:t>
            </w:r>
          </w:p>
        </w:tc>
        <w:tc>
          <w:tcPr/>
          <w:p>
            <w:pPr>
              <w:pStyle w:val="Compact"/>
              <w:jc w:val="left"/>
            </w:pPr>
            <w:r>
              <w:t xml:space="preserve">Peng et al. (2023)</w:t>
            </w:r>
          </w:p>
        </w:tc>
        <w:tc>
          <w:tcPr/>
          <w:p>
            <w:pPr>
              <w:pStyle w:val="Compact"/>
              <w:jc w:val="left"/>
            </w:pPr>
            <w:r>
              <w:t xml:space="preserve">Dell’Acqua et al. (2023)</w:t>
            </w:r>
          </w:p>
        </w:tc>
        <w:tc>
          <w:tcPr/>
          <w:p>
            <w:pPr>
              <w:pStyle w:val="Compact"/>
              <w:jc w:val="left"/>
            </w:pPr>
            <w:r>
              <w:t xml:space="preserve">Choi &amp; Schwarcz (2023)</w:t>
            </w:r>
          </w:p>
        </w:tc>
      </w:tr>
      <w:tr>
        <w:tc>
          <w:tcPr/>
          <w:p>
            <w:pPr>
              <w:pStyle w:val="Compact"/>
              <w:jc w:val="right"/>
            </w:pPr>
            <w:r>
              <w:t xml:space="preserve">setting</w:t>
            </w:r>
          </w:p>
        </w:tc>
        <w:tc>
          <w:tcPr/>
          <w:p>
            <w:pPr>
              <w:pStyle w:val="Compact"/>
            </w:pPr>
          </w:p>
        </w:tc>
        <w:tc>
          <w:tcPr/>
          <w:p>
            <w:pPr>
              <w:pStyle w:val="Compact"/>
              <w:jc w:val="left"/>
            </w:pPr>
            <w:r>
              <w:t xml:space="preserve">Field study (Fortune 500)</w:t>
            </w:r>
          </w:p>
        </w:tc>
        <w:tc>
          <w:tcPr/>
          <w:p>
            <w:pPr>
              <w:pStyle w:val="Compact"/>
              <w:jc w:val="left"/>
            </w:pPr>
            <w:r>
              <w:t xml:space="preserve">Online experiment (Prolific)</w:t>
            </w:r>
          </w:p>
        </w:tc>
        <w:tc>
          <w:tcPr/>
          <w:p>
            <w:pPr>
              <w:pStyle w:val="Compact"/>
              <w:jc w:val="left"/>
            </w:pPr>
            <w:r>
              <w:t xml:space="preserve">Online experiment (Upwork)</w:t>
            </w:r>
          </w:p>
        </w:tc>
        <w:tc>
          <w:tcPr/>
          <w:p>
            <w:pPr>
              <w:pStyle w:val="Compact"/>
              <w:jc w:val="left"/>
            </w:pPr>
            <w:r>
              <w:t xml:space="preserve">Field experiment (BCG)</w:t>
            </w:r>
          </w:p>
        </w:tc>
        <w:tc>
          <w:tcPr/>
          <w:p>
            <w:pPr>
              <w:pStyle w:val="Compact"/>
              <w:jc w:val="left"/>
            </w:pPr>
            <w:r>
              <w:t xml:space="preserve">Lab experiment (University)</w:t>
            </w:r>
          </w:p>
        </w:tc>
      </w:tr>
      <w:tr>
        <w:tc>
          <w:tcPr/>
          <w:p>
            <w:pPr>
              <w:pStyle w:val="Compact"/>
              <w:jc w:val="right"/>
            </w:pPr>
            <w:r>
              <w:t xml:space="preserve">subjects</w:t>
            </w:r>
          </w:p>
        </w:tc>
        <w:tc>
          <w:tcPr/>
          <w:p>
            <w:pPr>
              <w:pStyle w:val="Compact"/>
            </w:pPr>
          </w:p>
        </w:tc>
        <w:tc>
          <w:tcPr/>
          <w:p>
            <w:pPr>
              <w:pStyle w:val="Compact"/>
              <w:jc w:val="left"/>
            </w:pPr>
            <w:r>
              <w:t xml:space="preserve">5,172 cust. service agents</w:t>
            </w:r>
          </w:p>
        </w:tc>
        <w:tc>
          <w:tcPr/>
          <w:p>
            <w:pPr>
              <w:pStyle w:val="Compact"/>
              <w:jc w:val="left"/>
            </w:pPr>
            <w:r>
              <w:t xml:space="preserve">453 professionals</w:t>
            </w:r>
          </w:p>
        </w:tc>
        <w:tc>
          <w:tcPr/>
          <w:p>
            <w:pPr>
              <w:pStyle w:val="Compact"/>
              <w:jc w:val="left"/>
            </w:pPr>
            <w:r>
              <w:t xml:space="preserve">95 programmers</w:t>
            </w:r>
          </w:p>
        </w:tc>
        <w:tc>
          <w:tcPr/>
          <w:p>
            <w:pPr>
              <w:pStyle w:val="Compact"/>
              <w:jc w:val="left"/>
            </w:pPr>
            <w:r>
              <w:t xml:space="preserve">758 elite consultants</w:t>
            </w:r>
          </w:p>
        </w:tc>
        <w:tc>
          <w:tcPr/>
          <w:p>
            <w:pPr>
              <w:pStyle w:val="Compact"/>
              <w:jc w:val="left"/>
            </w:pPr>
            <w:r>
              <w:t xml:space="preserve">48 law students</w:t>
            </w:r>
          </w:p>
        </w:tc>
      </w:tr>
      <w:tr>
        <w:tc>
          <w:tcPr/>
          <w:p>
            <w:pPr>
              <w:pStyle w:val="Compact"/>
              <w:jc w:val="right"/>
            </w:pPr>
            <w:r>
              <w:t xml:space="preserve">task contents</w:t>
            </w:r>
          </w:p>
        </w:tc>
        <w:tc>
          <w:tcPr/>
          <w:p>
            <w:pPr>
              <w:pStyle w:val="Compact"/>
            </w:pPr>
          </w:p>
        </w:tc>
        <w:tc>
          <w:tcPr/>
          <w:p>
            <w:pPr>
              <w:pStyle w:val="Compact"/>
              <w:jc w:val="left"/>
            </w:pPr>
            <w:r>
              <w:t xml:space="preserve">Real customer support chats</w:t>
            </w:r>
          </w:p>
        </w:tc>
        <w:tc>
          <w:tcPr/>
          <w:p>
            <w:pPr>
              <w:pStyle w:val="Compact"/>
              <w:jc w:val="left"/>
            </w:pPr>
            <w:r>
              <w:t xml:space="preserve">Writing press releases, reports, and emails</w:t>
            </w:r>
          </w:p>
        </w:tc>
        <w:tc>
          <w:tcPr/>
          <w:p>
            <w:pPr>
              <w:pStyle w:val="Compact"/>
              <w:jc w:val="left"/>
            </w:pPr>
            <w:r>
              <w:t xml:space="preserve">Implementing an HTTP server in JavaScript</w:t>
            </w:r>
          </w:p>
        </w:tc>
        <w:tc>
          <w:tcPr/>
          <w:p>
            <w:pPr>
              <w:pStyle w:val="Compact"/>
              <w:jc w:val="left"/>
            </w:pPr>
            <w:r>
              <w:t xml:space="preserve">Creative product ideation and business problem-solving</w:t>
            </w:r>
          </w:p>
        </w:tc>
        <w:tc>
          <w:tcPr/>
          <w:p>
            <w:pPr>
              <w:pStyle w:val="Compact"/>
              <w:jc w:val="left"/>
            </w:pPr>
            <w:r>
              <w:t xml:space="preserve">Multiple-choice and essay questions from law exams</w:t>
            </w:r>
          </w:p>
        </w:tc>
      </w:tr>
      <w:tr>
        <w:tc>
          <w:tcPr/>
          <w:p>
            <w:pPr>
              <w:pStyle w:val="Compact"/>
              <w:jc w:val="right"/>
            </w:pPr>
            <w:r>
              <w:t xml:space="preserve">skill measurement</w:t>
            </w:r>
          </w:p>
        </w:tc>
        <w:tc>
          <w:tcPr/>
          <w:p>
            <w:pPr>
              <w:pStyle w:val="Compact"/>
            </w:pPr>
          </w:p>
        </w:tc>
        <w:tc>
          <w:tcPr/>
          <w:p>
            <w:pPr>
              <w:pStyle w:val="Compact"/>
              <w:jc w:val="left"/>
            </w:pPr>
            <w:r>
              <w:t xml:space="preserve">Objective, longitudinal</w:t>
            </w:r>
          </w:p>
        </w:tc>
        <w:tc>
          <w:tcPr/>
          <w:p>
            <w:pPr>
              <w:pStyle w:val="Compact"/>
              <w:jc w:val="left"/>
            </w:pPr>
            <w:r>
              <w:t xml:space="preserve">Objective, snapshot</w:t>
            </w:r>
          </w:p>
        </w:tc>
        <w:tc>
          <w:tcPr/>
          <w:p>
            <w:pPr>
              <w:pStyle w:val="Compact"/>
              <w:jc w:val="left"/>
            </w:pPr>
            <w:r>
              <w:t xml:space="preserve">Self-reported</w:t>
            </w:r>
          </w:p>
        </w:tc>
        <w:tc>
          <w:tcPr/>
          <w:p>
            <w:pPr>
              <w:pStyle w:val="Compact"/>
              <w:jc w:val="left"/>
            </w:pPr>
            <w:r>
              <w:t xml:space="preserve">Objective, snapshot</w:t>
            </w:r>
          </w:p>
        </w:tc>
        <w:tc>
          <w:tcPr/>
          <w:p>
            <w:pPr>
              <w:pStyle w:val="Compact"/>
              <w:jc w:val="left"/>
            </w:pPr>
            <w:r>
              <w:t xml:space="preserve">Objective, snapshot</w:t>
            </w:r>
          </w:p>
        </w:tc>
      </w:tr>
      <w:tr>
        <w:tc>
          <w:tcPr/>
          <w:p>
            <w:pPr>
              <w:pStyle w:val="Compact"/>
              <w:jc w:val="right"/>
            </w:pPr>
            <w:r>
              <w:t xml:space="preserve">skill contents</w:t>
            </w:r>
          </w:p>
        </w:tc>
        <w:tc>
          <w:tcPr/>
          <w:p>
            <w:pPr>
              <w:pStyle w:val="Compact"/>
            </w:pPr>
          </w:p>
        </w:tc>
        <w:tc>
          <w:tcPr/>
          <w:p>
            <w:pPr>
              <w:pStyle w:val="Compact"/>
              <w:jc w:val="left"/>
            </w:pPr>
            <w:r>
              <w:t xml:space="preserve">Months of real KPIs &amp; tenure.</w:t>
            </w:r>
          </w:p>
        </w:tc>
        <w:tc>
          <w:tcPr/>
          <w:p>
            <w:pPr>
              <w:pStyle w:val="Compact"/>
              <w:jc w:val="left"/>
            </w:pPr>
            <w:r>
              <w:t xml:space="preserve">Grade on one pre-task.</w:t>
            </w:r>
          </w:p>
        </w:tc>
        <w:tc>
          <w:tcPr/>
          <w:p>
            <w:pPr>
              <w:pStyle w:val="Compact"/>
              <w:jc w:val="left"/>
            </w:pPr>
            <w:r>
              <w:t xml:space="preserve">Years of experience.</w:t>
            </w:r>
          </w:p>
        </w:tc>
        <w:tc>
          <w:tcPr/>
          <w:p>
            <w:pPr>
              <w:pStyle w:val="Compact"/>
              <w:jc w:val="left"/>
            </w:pPr>
            <w:r>
              <w:t xml:space="preserve">Score on assessment task.</w:t>
            </w:r>
          </w:p>
        </w:tc>
        <w:tc>
          <w:tcPr/>
          <w:p>
            <w:pPr>
              <w:pStyle w:val="Compact"/>
              <w:jc w:val="left"/>
            </w:pPr>
            <w:r>
              <w:t xml:space="preserve">Score on prior real exam.</w:t>
            </w:r>
          </w:p>
        </w:tc>
      </w:tr>
      <w:tr>
        <w:tc>
          <w:tcPr/>
          <w:p>
            <w:pPr>
              <w:pStyle w:val="Compact"/>
              <w:jc w:val="right"/>
            </w:pPr>
            <w:r>
              <w:t xml:space="preserve">main impacts (pp.)</w:t>
            </w:r>
          </w:p>
        </w:tc>
        <w:tc>
          <w:tcPr/>
          <w:p>
            <w:pPr>
              <w:pStyle w:val="Compact"/>
            </w:pPr>
          </w:p>
        </w:tc>
        <w:tc>
          <w:tcPr/>
          <w:p>
            <w:pPr>
              <w:pStyle w:val="Compact"/>
              <w:jc w:val="left"/>
            </w:pPr>
            <w:r>
              <w:t xml:space="preserve">+15% productivity (RPH) (p.907)</w:t>
            </w:r>
          </w:p>
        </w:tc>
        <w:tc>
          <w:tcPr/>
          <w:p>
            <w:pPr>
              <w:pStyle w:val="Compact"/>
              <w:jc w:val="left"/>
            </w:pPr>
            <w:r>
              <w:t xml:space="preserve">-40% time, +18% quality (p.4)</w:t>
            </w:r>
          </w:p>
        </w:tc>
        <w:tc>
          <w:tcPr/>
          <w:p>
            <w:pPr>
              <w:pStyle w:val="Compact"/>
              <w:jc w:val="left"/>
            </w:pPr>
            <w:r>
              <w:t xml:space="preserve">-56% time (p.5)</w:t>
            </w:r>
          </w:p>
        </w:tc>
        <w:tc>
          <w:tcPr/>
          <w:p>
            <w:pPr>
              <w:pStyle w:val="Compact"/>
              <w:jc w:val="left"/>
            </w:pPr>
            <w:r>
              <w:t xml:space="preserve">+40% quality, +25% speed (p.16)</w:t>
            </w:r>
          </w:p>
        </w:tc>
        <w:tc>
          <w:tcPr/>
          <w:p>
            <w:pPr>
              <w:pStyle w:val="Compact"/>
              <w:jc w:val="left"/>
            </w:pPr>
            <w:r>
              <w:t xml:space="preserve">+29 percentile (MCQ), 0 (essay) (p.18)</w:t>
            </w:r>
          </w:p>
        </w:tc>
      </w:tr>
      <w:tr>
        <w:tc>
          <w:tcPr/>
          <w:p>
            <w:pPr>
              <w:pStyle w:val="Compact"/>
              <w:jc w:val="right"/>
            </w:pPr>
            <w:r>
              <w:t xml:space="preserve">AI deployment</w:t>
            </w:r>
          </w:p>
        </w:tc>
        <w:tc>
          <w:tcPr/>
          <w:p>
            <w:pPr>
              <w:pStyle w:val="Compact"/>
            </w:pPr>
          </w:p>
        </w:tc>
        <w:tc>
          <w:tcPr/>
          <w:p>
            <w:pPr>
              <w:pStyle w:val="Compact"/>
              <w:jc w:val="left"/>
            </w:pPr>
            <w:r>
              <w:t xml:space="preserve">Real-time assistant</w:t>
            </w:r>
          </w:p>
        </w:tc>
        <w:tc>
          <w:tcPr/>
          <w:p>
            <w:pPr>
              <w:pStyle w:val="Compact"/>
              <w:jc w:val="left"/>
            </w:pPr>
            <w:r>
              <w:t xml:space="preserve">One-off use for writing</w:t>
            </w:r>
          </w:p>
        </w:tc>
        <w:tc>
          <w:tcPr/>
          <w:p>
            <w:pPr>
              <w:pStyle w:val="Compact"/>
              <w:jc w:val="left"/>
            </w:pPr>
            <w:r>
              <w:t xml:space="preserve">Pair programmer for coding</w:t>
            </w:r>
          </w:p>
        </w:tc>
        <w:tc>
          <w:tcPr/>
          <w:p>
            <w:pPr>
              <w:pStyle w:val="Compact"/>
              <w:jc w:val="left"/>
            </w:pPr>
            <w:r>
              <w:t xml:space="preserve">Interactive use for consulting</w:t>
            </w:r>
          </w:p>
        </w:tc>
        <w:tc>
          <w:tcPr/>
          <w:p>
            <w:pPr>
              <w:pStyle w:val="Compact"/>
              <w:jc w:val="left"/>
            </w:pPr>
            <w:r>
              <w:t xml:space="preserve">Assistant for exam questions</w:t>
            </w:r>
          </w:p>
        </w:tc>
      </w:tr>
      <w:tr>
        <w:tc>
          <w:tcPr/>
          <w:p>
            <w:pPr>
              <w:pStyle w:val="Compact"/>
              <w:jc w:val="right"/>
            </w:pPr>
            <w:r>
              <w:t xml:space="preserve">leveling comparison</w:t>
            </w:r>
          </w:p>
        </w:tc>
        <w:tc>
          <w:tcPr/>
          <w:p>
            <w:pPr>
              <w:pStyle w:val="Compact"/>
            </w:pPr>
          </w:p>
        </w:tc>
        <w:tc>
          <w:tcPr/>
          <w:p>
            <w:pPr>
              <w:pStyle w:val="Compact"/>
              <w:jc w:val="left"/>
            </w:pPr>
            <w:r>
              <w:t xml:space="preserve">Skill quintiles vs. performance</w:t>
            </w:r>
          </w:p>
        </w:tc>
        <w:tc>
          <w:tcPr/>
          <w:p>
            <w:pPr>
              <w:pStyle w:val="Compact"/>
              <w:jc w:val="left"/>
            </w:pPr>
            <w:r>
              <w:t xml:space="preserve">Grade on task 1 vs. task 2</w:t>
            </w:r>
          </w:p>
        </w:tc>
        <w:tc>
          <w:tcPr/>
          <w:p>
            <w:pPr>
              <w:pStyle w:val="Compact"/>
              <w:jc w:val="left"/>
            </w:pPr>
            <w:r>
              <w:t xml:space="preserve">Regression on years of exp.</w:t>
            </w:r>
          </w:p>
        </w:tc>
        <w:tc>
          <w:tcPr/>
          <w:p>
            <w:pPr>
              <w:pStyle w:val="Compact"/>
              <w:jc w:val="left"/>
            </w:pPr>
            <w:r>
              <w:t xml:space="preserve">Bottom-half vs. top-half</w:t>
            </w:r>
          </w:p>
        </w:tc>
        <w:tc>
          <w:tcPr/>
          <w:p>
            <w:pPr>
              <w:pStyle w:val="Compact"/>
              <w:jc w:val="left"/>
            </w:pPr>
            <w:r>
              <w:t xml:space="preserve">Baseline percentile vs. change in percentile</w:t>
            </w:r>
          </w:p>
        </w:tc>
      </w:tr>
      <w:tr>
        <w:tc>
          <w:tcPr/>
          <w:p>
            <w:pPr>
              <w:pStyle w:val="Compact"/>
              <w:jc w:val="right"/>
            </w:pPr>
            <w:r>
              <w:t xml:space="preserve">leveling impact size (pp.)</w:t>
            </w:r>
          </w:p>
        </w:tc>
        <w:tc>
          <w:tcPr/>
          <w:p>
            <w:pPr>
              <w:pStyle w:val="Compact"/>
            </w:pPr>
          </w:p>
        </w:tc>
        <w:tc>
          <w:tcPr/>
          <w:p>
            <w:pPr>
              <w:pStyle w:val="Compact"/>
              <w:jc w:val="left"/>
            </w:pPr>
            <w:r>
              <w:t xml:space="preserve">+36% (bottom) vs. 0% (top) in RPH (p.911)</w:t>
            </w:r>
          </w:p>
        </w:tc>
        <w:tc>
          <w:tcPr/>
          <w:p>
            <w:pPr>
              <w:pStyle w:val="Compact"/>
              <w:jc w:val="left"/>
            </w:pPr>
            <w:r>
              <w:t xml:space="preserve">Grade correlation drops 0.41-&gt;0.14 (p.5)</w:t>
            </w:r>
          </w:p>
        </w:tc>
        <w:tc>
          <w:tcPr/>
          <w:p>
            <w:pPr>
              <w:pStyle w:val="Compact"/>
              <w:jc w:val="left"/>
            </w:pPr>
            <w:r>
              <w:t xml:space="preserve">Effect varies by exp. (p.6)</w:t>
            </w:r>
          </w:p>
        </w:tc>
        <w:tc>
          <w:tcPr/>
          <w:p>
            <w:pPr>
              <w:pStyle w:val="Compact"/>
              <w:jc w:val="left"/>
            </w:pPr>
            <w:r>
              <w:t xml:space="preserve">+43% (bottom) vs. +17% (top) in quality (p.15)</w:t>
            </w:r>
          </w:p>
        </w:tc>
        <w:tc>
          <w:tcPr/>
          <w:p>
            <w:pPr>
              <w:pStyle w:val="Compact"/>
              <w:jc w:val="left"/>
            </w:pPr>
            <w:r>
              <w:t xml:space="preserve">+45 (bottom) vs. -20 (top) percentile (p.21)</w:t>
            </w:r>
          </w:p>
        </w:tc>
      </w:tr>
      <w:tr>
        <w:tc>
          <w:tcPr/>
          <w:p>
            <w:pPr>
              <w:pStyle w:val="Compact"/>
              <w:jc w:val="right"/>
            </w:pPr>
            <w:r>
              <w:t xml:space="preserve">top-tier impact (pp.)</w:t>
            </w:r>
          </w:p>
        </w:tc>
        <w:tc>
          <w:tcPr/>
          <w:p>
            <w:pPr>
              <w:pStyle w:val="Compact"/>
            </w:pPr>
          </w:p>
        </w:tc>
        <w:tc>
          <w:tcPr/>
          <w:p>
            <w:pPr>
              <w:pStyle w:val="Compact"/>
              <w:jc w:val="left"/>
            </w:pPr>
            <w:r>
              <w:t xml:space="preserve">Null on speed, small negative on quality (p.911)</w:t>
            </w:r>
          </w:p>
        </w:tc>
        <w:tc>
          <w:tcPr/>
          <w:p>
            <w:pPr>
              <w:pStyle w:val="Compact"/>
              <w:jc w:val="left"/>
            </w:pPr>
            <w:r>
              <w:t xml:space="preserve">Null on quality, still reduces time (p.4)</w:t>
            </w:r>
          </w:p>
        </w:tc>
        <w:tc>
          <w:tcPr/>
          <w:p>
            <w:pPr>
              <w:pStyle w:val="Compact"/>
              <w:jc w:val="left"/>
            </w:pPr>
            <w:r>
              <w:t xml:space="preserve">Not explicitly isolated (p.6)</w:t>
            </w:r>
          </w:p>
        </w:tc>
        <w:tc>
          <w:tcPr/>
          <w:p>
            <w:pPr>
              <w:pStyle w:val="Compact"/>
              <w:jc w:val="left"/>
            </w:pPr>
            <w:r>
              <w:t xml:space="preserve">Positive, but smaller gains (+17%) (p.15)</w:t>
            </w:r>
          </w:p>
        </w:tc>
        <w:tc>
          <w:tcPr/>
          <w:p>
            <w:pPr>
              <w:pStyle w:val="Compact"/>
              <w:jc w:val="left"/>
            </w:pPr>
            <w:r>
              <w:t xml:space="preserve">Significant negative (-20 percentile) on essays (p.21)</w:t>
            </w:r>
          </w:p>
        </w:tc>
      </w:tr>
      <w:tr>
        <w:tc>
          <w:tcPr/>
          <w:p>
            <w:pPr>
              <w:pStyle w:val="Compact"/>
              <w:jc w:val="right"/>
            </w:pPr>
            <w:r>
              <w:t xml:space="preserve">external validity</w:t>
            </w:r>
          </w:p>
        </w:tc>
        <w:tc>
          <w:tcPr/>
          <w:p>
            <w:pPr>
              <w:pStyle w:val="Compact"/>
            </w:pPr>
          </w:p>
        </w:tc>
        <w:tc>
          <w:tcPr/>
          <w:p>
            <w:pPr>
              <w:pStyle w:val="Compact"/>
              <w:jc w:val="left"/>
            </w:pPr>
            <w:r>
              <w:t xml:space="preserve">Stable tasks; AI augments knowledge/comms; real stakes.</w:t>
            </w:r>
          </w:p>
        </w:tc>
        <w:tc>
          <w:tcPr/>
          <w:p>
            <w:pPr>
              <w:pStyle w:val="Compact"/>
              <w:jc w:val="left"/>
            </w:pPr>
            <w:r>
              <w:t xml:space="preserve">Creative/writing tasks; AI as a first-draft tool; low stakes.</w:t>
            </w:r>
          </w:p>
        </w:tc>
        <w:tc>
          <w:tcPr/>
          <w:p>
            <w:pPr>
              <w:pStyle w:val="Compact"/>
              <w:jc w:val="left"/>
            </w:pPr>
            <w:r>
              <w:t xml:space="preserve">Standardized coding; AI code completion; time incentives.</w:t>
            </w:r>
          </w:p>
        </w:tc>
        <w:tc>
          <w:tcPr/>
          <w:p>
            <w:pPr>
              <w:pStyle w:val="Compact"/>
              <w:jc w:val="left"/>
            </w:pPr>
            <w:r>
              <w:t xml:space="preserve">Complex knowledge work; AI as a brainstorming partner; high-skill workers.</w:t>
            </w:r>
          </w:p>
        </w:tc>
        <w:tc>
          <w:tcPr/>
          <w:p>
            <w:pPr>
              <w:pStyle w:val="Compact"/>
              <w:jc w:val="left"/>
            </w:pPr>
            <w:r>
              <w:t xml:space="preserve">Formal reasoning tasks; AI as knowledge support; academic setting.</w:t>
            </w:r>
          </w:p>
        </w:tc>
      </w:tr>
    </w:tbl>
    <w:bookmarkEnd w:id="33"/>
    <w:bookmarkStart w:id="41" w:name="llm-use-generalizability"/>
    <w:p>
      <w:pPr>
        <w:pStyle w:val="Heading2"/>
      </w:pPr>
      <w:r>
        <w:t xml:space="preserve">LLM use &amp; generalizability</w:t>
      </w:r>
    </w:p>
    <w:bookmarkStart w:id="36" w:name="training-of-ai"/>
    <w:p>
      <w:pPr>
        <w:pStyle w:val="Heading3"/>
      </w:pPr>
      <w:r>
        <w:t xml:space="preserve">Training of AI</w:t>
      </w:r>
      <w:r>
        <w:rPr>
          <w:rStyle w:val="FootnoteReference"/>
        </w:rPr>
        <w:footnoteReference w:id="34"/>
      </w:r>
    </w:p>
    <w:p>
      <w:pPr>
        <w:pStyle w:val="Compact"/>
        <w:numPr>
          <w:ilvl w:val="0"/>
          <w:numId w:val="1010"/>
        </w:numPr>
      </w:pPr>
      <w:r>
        <w:t xml:space="preserve">Data: Customer support center recordings</w:t>
      </w:r>
    </w:p>
    <w:p>
      <w:pPr>
        <w:pStyle w:val="Compact"/>
        <w:numPr>
          <w:ilvl w:val="0"/>
          <w:numId w:val="1010"/>
        </w:numPr>
      </w:pPr>
      <w:r>
        <w:t xml:space="preserve">Up-weights top performing agents in training</w:t>
      </w:r>
    </w:p>
    <w:p>
      <w:pPr>
        <w:pStyle w:val="Compact"/>
        <w:numPr>
          <w:ilvl w:val="0"/>
          <w:numId w:val="1010"/>
        </w:numPr>
      </w:pPr>
      <w:r>
        <w:t xml:space="preserve">Aspects of agent behaviour trained to AI (p.900)</w:t>
      </w:r>
    </w:p>
    <w:p>
      <w:pPr>
        <w:pStyle w:val="Compact"/>
        <w:numPr>
          <w:ilvl w:val="1"/>
          <w:numId w:val="1011"/>
        </w:numPr>
      </w:pPr>
      <w:r>
        <w:t xml:space="preserve">when to ask clarifying questions</w:t>
      </w:r>
    </w:p>
    <w:p>
      <w:pPr>
        <w:pStyle w:val="Compact"/>
        <w:numPr>
          <w:ilvl w:val="1"/>
          <w:numId w:val="1011"/>
        </w:numPr>
      </w:pPr>
      <w:r>
        <w:t xml:space="preserve">being attentive to customer concerns</w:t>
      </w:r>
    </w:p>
    <w:p>
      <w:pPr>
        <w:pStyle w:val="Compact"/>
        <w:numPr>
          <w:ilvl w:val="1"/>
          <w:numId w:val="1011"/>
        </w:numPr>
      </w:pPr>
      <w:r>
        <w:t xml:space="preserve">de-escalating tense situations</w:t>
      </w:r>
    </w:p>
    <w:p>
      <w:pPr>
        <w:pStyle w:val="Compact"/>
        <w:numPr>
          <w:ilvl w:val="1"/>
          <w:numId w:val="1011"/>
        </w:numPr>
      </w:pPr>
      <w:r>
        <w:t xml:space="preserve">adapting communication styles</w:t>
      </w:r>
    </w:p>
    <w:p>
      <w:pPr>
        <w:pStyle w:val="Compact"/>
        <w:numPr>
          <w:ilvl w:val="1"/>
          <w:numId w:val="1011"/>
        </w:numPr>
      </w:pPr>
      <w:r>
        <w:t xml:space="preserve">explaining complex topics in simple terms</w:t>
      </w:r>
    </w:p>
    <w:p>
      <w:pPr>
        <w:pStyle w:val="Compact"/>
        <w:numPr>
          <w:ilvl w:val="0"/>
          <w:numId w:val="1010"/>
        </w:numPr>
      </w:pPr>
      <w:r>
        <w:t xml:space="preserve">Priotize agent responses that</w:t>
      </w:r>
    </w:p>
    <w:p>
      <w:pPr>
        <w:pStyle w:val="Compact"/>
        <w:numPr>
          <w:ilvl w:val="1"/>
          <w:numId w:val="1012"/>
        </w:numPr>
      </w:pPr>
      <w:r>
        <w:t xml:space="preserve">express empathy</w:t>
      </w:r>
    </w:p>
    <w:p>
      <w:pPr>
        <w:pStyle w:val="Compact"/>
        <w:numPr>
          <w:ilvl w:val="1"/>
          <w:numId w:val="1012"/>
        </w:numPr>
      </w:pPr>
      <w:r>
        <w:t xml:space="preserve">provide appropriate technical documentation</w:t>
      </w:r>
    </w:p>
    <w:p>
      <w:pPr>
        <w:pStyle w:val="Compact"/>
        <w:numPr>
          <w:ilvl w:val="1"/>
          <w:numId w:val="1012"/>
        </w:numPr>
      </w:pPr>
      <w:r>
        <w:t xml:space="preserve">limit unprofessional language</w:t>
      </w:r>
    </w:p>
    <w:p>
      <w:pPr>
        <w:pStyle w:val="FirstParagraph"/>
      </w:pPr>
      <w:r>
        <w:t xml:space="preserve">Usage</w:t>
      </w:r>
    </w:p>
    <w:p>
      <w:pPr>
        <w:pStyle w:val="Compact"/>
        <w:numPr>
          <w:ilvl w:val="0"/>
          <w:numId w:val="1013"/>
        </w:numPr>
      </w:pPr>
      <w:r>
        <w:t xml:space="preserve">To augment, rather than replace, human agents</w:t>
      </w:r>
      <w:r>
        <w:rPr>
          <w:rStyle w:val="FootnoteReference"/>
        </w:rPr>
        <w:footnoteReference w:id="35"/>
      </w:r>
    </w:p>
    <w:p>
      <w:pPr>
        <w:pStyle w:val="Compact"/>
        <w:numPr>
          <w:ilvl w:val="0"/>
          <w:numId w:val="1013"/>
        </w:numPr>
      </w:pPr>
      <w:r>
        <w:t xml:space="preserve">AI gives no advice on insufficiently trained topics</w:t>
      </w:r>
    </w:p>
    <w:bookmarkEnd w:id="36"/>
    <w:bookmarkStart w:id="40" w:name="how-an-agent-uses-ai"/>
    <w:p>
      <w:pPr>
        <w:pStyle w:val="Heading3"/>
      </w:pPr>
      <w:r>
        <w:t xml:space="preserve">How an agent uses AI</w:t>
      </w:r>
    </w:p>
    <w:p>
      <w:pPr>
        <w:pStyle w:val="FirstParagraph"/>
      </w:pPr>
      <w:r>
        <w:drawing>
          <wp:inline>
            <wp:extent cx="5334000" cy="5845535"/>
            <wp:effectExtent b="0" l="0" r="0" t="0"/>
            <wp:docPr descr="" title="" id="38" name="Picture"/>
            <a:graphic>
              <a:graphicData uri="http://schemas.openxmlformats.org/drawingml/2006/picture">
                <pic:pic>
                  <pic:nvPicPr>
                    <pic:cNvPr descr="FigA1AB.jpg" id="39" name="Picture"/>
                    <pic:cNvPicPr>
                      <a:picLocks noChangeArrowheads="1" noChangeAspect="1"/>
                    </pic:cNvPicPr>
                  </pic:nvPicPr>
                  <pic:blipFill>
                    <a:blip r:embed="rId37"/>
                    <a:stretch>
                      <a:fillRect/>
                    </a:stretch>
                  </pic:blipFill>
                  <pic:spPr bwMode="auto">
                    <a:xfrm>
                      <a:off x="0" y="0"/>
                      <a:ext cx="5334000" cy="5845535"/>
                    </a:xfrm>
                    <a:prstGeom prst="rect">
                      <a:avLst/>
                    </a:prstGeom>
                    <a:noFill/>
                    <a:ln w="9525">
                      <a:noFill/>
                      <a:headEnd/>
                      <a:tailEnd/>
                    </a:ln>
                  </pic:spPr>
                </pic:pic>
              </a:graphicData>
            </a:graphic>
          </wp:inline>
        </w:drawing>
      </w:r>
    </w:p>
    <w:p>
      <w:pPr>
        <w:pStyle w:val="BodyText"/>
      </w:pPr>
      <w:r>
        <w:t xml:space="preserve">Chat box</w:t>
      </w:r>
    </w:p>
    <w:p>
      <w:pPr>
        <w:pStyle w:val="Compact"/>
        <w:numPr>
          <w:ilvl w:val="0"/>
          <w:numId w:val="1014"/>
        </w:numPr>
      </w:pPr>
      <w:r>
        <w:t xml:space="preserve">Customer sends a message</w:t>
      </w:r>
    </w:p>
    <w:p>
      <w:pPr>
        <w:pStyle w:val="Compact"/>
        <w:numPr>
          <w:ilvl w:val="0"/>
          <w:numId w:val="1014"/>
        </w:numPr>
      </w:pPr>
      <w:r>
        <w:t xml:space="preserve">AI analyzes the chat</w:t>
      </w:r>
    </w:p>
    <w:p>
      <w:pPr>
        <w:pStyle w:val="Compact"/>
        <w:numPr>
          <w:ilvl w:val="0"/>
          <w:numId w:val="1014"/>
        </w:numPr>
      </w:pPr>
      <w:r>
        <w:t xml:space="preserve">AI displays suggestions to the agent on a separate panel or window</w:t>
      </w:r>
    </w:p>
    <w:p>
      <w:pPr>
        <w:pStyle w:val="Compact"/>
        <w:numPr>
          <w:ilvl w:val="1"/>
          <w:numId w:val="1015"/>
        </w:numPr>
      </w:pPr>
      <w:r>
        <w:t xml:space="preserve">Suggested text: Ready-to-use phrases or sentences (e.g.,</w:t>
      </w:r>
      <w:r>
        <w:t xml:space="preserve"> </w:t>
      </w:r>
      <w:r>
        <w:t xml:space="preserve">“Happy to help you get this fixed asap”</w:t>
      </w:r>
      <w:r>
        <w:t xml:space="preserve">).</w:t>
      </w:r>
    </w:p>
    <w:p>
      <w:pPr>
        <w:pStyle w:val="Compact"/>
        <w:numPr>
          <w:ilvl w:val="1"/>
          <w:numId w:val="1015"/>
        </w:numPr>
      </w:pPr>
      <w:r>
        <w:t xml:space="preserve">Suggested links: Links to internal technical documentation relevant to the problem.</w:t>
      </w:r>
    </w:p>
    <w:p>
      <w:pPr>
        <w:pStyle w:val="Compact"/>
        <w:numPr>
          <w:ilvl w:val="0"/>
          <w:numId w:val="1014"/>
        </w:numPr>
      </w:pPr>
      <w:r>
        <w:t xml:space="preserve">Agent chooses response</w:t>
      </w:r>
    </w:p>
    <w:p>
      <w:pPr>
        <w:pStyle w:val="Compact"/>
        <w:numPr>
          <w:ilvl w:val="1"/>
          <w:numId w:val="1016"/>
        </w:numPr>
      </w:pPr>
      <w:r>
        <w:t xml:space="preserve">Use: Copy-paste</w:t>
      </w:r>
    </w:p>
    <w:p>
      <w:pPr>
        <w:pStyle w:val="Compact"/>
        <w:numPr>
          <w:ilvl w:val="1"/>
          <w:numId w:val="1016"/>
        </w:numPr>
      </w:pPr>
      <w:r>
        <w:t xml:space="preserve">Edit: Modify</w:t>
      </w:r>
    </w:p>
    <w:p>
      <w:pPr>
        <w:pStyle w:val="Compact"/>
        <w:numPr>
          <w:ilvl w:val="1"/>
          <w:numId w:val="1016"/>
        </w:numPr>
      </w:pPr>
      <w:r>
        <w:t xml:space="preserve">Ignore: Type a completely different response from scratch</w:t>
      </w:r>
    </w:p>
    <w:p>
      <w:pPr>
        <w:pStyle w:val="Compact"/>
        <w:numPr>
          <w:ilvl w:val="1"/>
          <w:numId w:val="1016"/>
        </w:numPr>
      </w:pPr>
      <w:r>
        <w:t xml:space="preserve">Learn: Read the doc before typing own response</w:t>
      </w:r>
    </w:p>
    <w:bookmarkEnd w:id="40"/>
    <w:bookmarkEnd w:id="41"/>
    <w:bookmarkStart w:id="44" w:name="data"/>
    <w:p>
      <w:pPr>
        <w:pStyle w:val="Heading2"/>
      </w:pPr>
      <w:r>
        <w:t xml:space="preserve">Data</w:t>
      </w:r>
    </w:p>
    <w:p>
      <w:pPr>
        <w:pStyle w:val="FirstParagraph"/>
      </w:pPr>
      <w:r>
        <w:t xml:space="preserve">Proprietary data from a Fortune 500 firm (</w:t>
      </w:r>
      <w:r>
        <w:t xml:space="preserve">“Data Firm”</w:t>
      </w:r>
      <w:r>
        <w:t xml:space="preserve">)</w:t>
      </w:r>
    </w:p>
    <w:p>
      <w:pPr>
        <w:pStyle w:val="Compact"/>
        <w:numPr>
          <w:ilvl w:val="0"/>
          <w:numId w:val="1017"/>
        </w:numPr>
      </w:pPr>
      <w:r>
        <w:t xml:space="preserve">Data Firm sells business-process software</w:t>
      </w:r>
    </w:p>
    <w:p>
      <w:pPr>
        <w:pStyle w:val="Compact"/>
        <w:numPr>
          <w:ilvl w:val="0"/>
          <w:numId w:val="1017"/>
        </w:numPr>
      </w:pPr>
      <w:r>
        <w:t xml:space="preserve">AI Firm provides the generative AI assistance and data for research</w:t>
      </w:r>
    </w:p>
    <w:p>
      <w:pPr>
        <w:pStyle w:val="Compact"/>
        <w:numPr>
          <w:ilvl w:val="0"/>
          <w:numId w:val="1017"/>
        </w:numPr>
      </w:pPr>
      <w:r>
        <w:t xml:space="preserve">5,172 agents, 3M+ chats</w:t>
      </w:r>
    </w:p>
    <w:p>
      <w:pPr>
        <w:pStyle w:val="Compact"/>
        <w:numPr>
          <w:ilvl w:val="1"/>
          <w:numId w:val="1018"/>
        </w:numPr>
      </w:pPr>
      <w:r>
        <w:t xml:space="preserve">Employed directly by the Data Firm or by third-party subcontractors</w:t>
      </w:r>
    </w:p>
    <w:p>
      <w:pPr>
        <w:pStyle w:val="Compact"/>
        <w:numPr>
          <w:ilvl w:val="0"/>
          <w:numId w:val="1017"/>
        </w:numPr>
      </w:pPr>
      <w:r>
        <w:t xml:space="preserve">Agent-chat panel: Chat transcripts, durations, resolution status, customer feedback</w:t>
      </w:r>
    </w:p>
    <w:p>
      <w:pPr>
        <w:pStyle w:val="Compact"/>
        <w:numPr>
          <w:ilvl w:val="1"/>
          <w:numId w:val="1019"/>
        </w:numPr>
      </w:pPr>
      <w:r>
        <w:t xml:space="preserve">Main analysis: aggregated to agent-month</w:t>
      </w:r>
    </w:p>
    <w:p>
      <w:pPr>
        <w:pStyle w:val="Compact"/>
        <w:numPr>
          <w:ilvl w:val="1"/>
          <w:numId w:val="1019"/>
        </w:numPr>
      </w:pPr>
      <w:r>
        <w:t xml:space="preserve">Outage study: individual chat level</w:t>
      </w:r>
    </w:p>
    <w:p>
      <w:pPr>
        <w:pStyle w:val="Compact"/>
        <w:numPr>
          <w:ilvl w:val="1"/>
          <w:numId w:val="1019"/>
        </w:numPr>
      </w:pPr>
      <w:r>
        <w:t xml:space="preserve">Background information on each agent: Tenure, geographic location, employer, team assignment, but no individual pay or wages</w:t>
      </w:r>
    </w:p>
    <w:p>
      <w:pPr>
        <w:pStyle w:val="Compact"/>
        <w:numPr>
          <w:ilvl w:val="0"/>
          <w:numId w:val="1017"/>
        </w:numPr>
      </w:pPr>
      <w:r>
        <w:t xml:space="preserve">Derived variables</w:t>
      </w:r>
    </w:p>
    <w:p>
      <w:pPr>
        <w:pStyle w:val="Compact"/>
        <w:numPr>
          <w:ilvl w:val="1"/>
          <w:numId w:val="1020"/>
        </w:numPr>
      </w:pPr>
      <w:r>
        <w:t xml:space="preserve">Resolutions per hour, average handle time, chats per hour</w:t>
      </w:r>
    </w:p>
    <w:p>
      <w:pPr>
        <w:pStyle w:val="Compact"/>
        <w:numPr>
          <w:ilvl w:val="1"/>
          <w:numId w:val="1020"/>
        </w:numPr>
      </w:pPr>
      <w:r>
        <w:t xml:space="preserve">Adherence = 1 if either of below holds:</w:t>
      </w:r>
    </w:p>
    <w:p>
      <w:pPr>
        <w:pStyle w:val="Compact"/>
        <w:numPr>
          <w:ilvl w:val="2"/>
          <w:numId w:val="1021"/>
        </w:numPr>
      </w:pPr>
      <w:r>
        <w:t xml:space="preserve">Direct copy tracking: An exact match to AI’s suggestions</w:t>
      </w:r>
    </w:p>
    <w:p>
      <w:pPr>
        <w:pStyle w:val="Compact"/>
        <w:numPr>
          <w:ilvl w:val="2"/>
          <w:numId w:val="1021"/>
        </w:numPr>
      </w:pPr>
      <w:r>
        <w:t xml:space="preserve">High content similarity: Compares the message vs. AI suggestions</w:t>
      </w:r>
      <w:r>
        <w:rPr>
          <w:rStyle w:val="FootnoteReference"/>
        </w:rPr>
        <w:footnoteReference w:id="42"/>
      </w:r>
    </w:p>
    <w:p>
      <w:pPr>
        <w:pStyle w:val="Compact"/>
        <w:numPr>
          <w:ilvl w:val="1"/>
          <w:numId w:val="1020"/>
        </w:numPr>
      </w:pPr>
      <w:r>
        <w:t xml:space="preserve">Topics: Classified using Gemini</w:t>
      </w:r>
    </w:p>
    <w:p>
      <w:pPr>
        <w:pStyle w:val="Compact"/>
        <w:numPr>
          <w:ilvl w:val="1"/>
          <w:numId w:val="1020"/>
        </w:numPr>
      </w:pPr>
      <w:r>
        <w:t xml:space="preserve">Conversation style: Comprehensibility, native (American English) fluency, scored by Gemini</w:t>
      </w:r>
    </w:p>
    <w:p>
      <w:pPr>
        <w:pStyle w:val="Compact"/>
        <w:numPr>
          <w:ilvl w:val="1"/>
          <w:numId w:val="1020"/>
        </w:numPr>
      </w:pPr>
      <w:r>
        <w:t xml:space="preserve">Customer sentiments</w:t>
      </w:r>
      <w:r>
        <w:t xml:space="preserve"> </w:t>
      </w:r>
      <m:oMath>
        <m:r>
          <m:rPr>
            <m:sty m:val="p"/>
          </m:rPr>
          <m:t>∈</m:t>
        </m:r>
        <m:d>
          <m:dPr>
            <m:begChr m:val="["/>
            <m:sepChr m:val=""/>
            <m:endChr m:val="]"/>
            <m:grow/>
          </m:dPr>
          <m:e>
            <m:r>
              <m:rPr>
                <m:sty m:val="p"/>
              </m:rPr>
              <m:t>−</m:t>
            </m:r>
            <m:r>
              <m:t>1</m:t>
            </m:r>
            <m:r>
              <m:rPr>
                <m:sty m:val="p"/>
              </m:rPr>
              <m:t>,</m:t>
            </m:r>
            <m:r>
              <m:t>1</m:t>
            </m:r>
          </m:e>
        </m:d>
      </m:oMath>
      <w:r>
        <w:t xml:space="preserve">: Measured by using</w:t>
      </w:r>
      <w:r>
        <w:t xml:space="preserve"> </w:t>
      </w:r>
      <w:hyperlink r:id="rId43">
        <w:r>
          <w:rPr>
            <w:rStyle w:val="Hyperlink"/>
          </w:rPr>
          <w:t xml:space="preserve">SiEBERT</w:t>
        </w:r>
      </w:hyperlink>
    </w:p>
    <w:bookmarkEnd w:id="44"/>
    <w:bookmarkStart w:id="45" w:name="treatment-assignment"/>
    <w:p>
      <w:pPr>
        <w:pStyle w:val="Heading2"/>
      </w:pPr>
      <w:r>
        <w:t xml:space="preserve">Treatment assignment</w:t>
      </w:r>
    </w:p>
    <w:p>
      <w:pPr>
        <w:pStyle w:val="Compact"/>
        <w:numPr>
          <w:ilvl w:val="0"/>
          <w:numId w:val="1022"/>
        </w:numPr>
      </w:pPr>
      <w:r>
        <w:t xml:space="preserve">AI tool roll out: Staggered, Fall 2020 - Winter 2021</w:t>
      </w:r>
    </w:p>
    <w:p>
      <w:pPr>
        <w:pStyle w:val="Compact"/>
        <w:numPr>
          <w:ilvl w:val="1"/>
          <w:numId w:val="1023"/>
        </w:numPr>
      </w:pPr>
      <w:r>
        <w:t xml:space="preserve">Limited training capacity (small sessions, few trainers)</w:t>
      </w:r>
    </w:p>
    <w:p>
      <w:pPr>
        <w:pStyle w:val="Compact"/>
        <w:numPr>
          <w:ilvl w:val="1"/>
          <w:numId w:val="1023"/>
        </w:numPr>
      </w:pPr>
      <w:r>
        <w:t xml:space="preserve">Budgetary limits for the new technology</w:t>
      </w:r>
    </w:p>
    <w:p>
      <w:pPr>
        <w:pStyle w:val="Compact"/>
        <w:numPr>
          <w:ilvl w:val="1"/>
          <w:numId w:val="1023"/>
        </w:numPr>
      </w:pPr>
      <w:r>
        <w:t xml:space="preserve">Full sample period: No information</w:t>
      </w:r>
    </w:p>
    <w:p>
      <w:pPr>
        <w:pStyle w:val="Compact"/>
        <w:numPr>
          <w:ilvl w:val="0"/>
          <w:numId w:val="1022"/>
        </w:numPr>
      </w:pPr>
      <w:r>
        <w:t xml:space="preserve">Treatment Assignment: Team→agent</w:t>
      </w:r>
    </w:p>
    <w:p>
      <w:pPr>
        <w:pStyle w:val="Compact"/>
        <w:numPr>
          <w:ilvl w:val="1"/>
          <w:numId w:val="1024"/>
        </w:numPr>
      </w:pPr>
      <w:r>
        <w:t xml:space="preserve">Team selection: No information</w:t>
      </w:r>
    </w:p>
    <w:p>
      <w:pPr>
        <w:pStyle w:val="Compact"/>
        <w:numPr>
          <w:ilvl w:val="1"/>
          <w:numId w:val="1024"/>
        </w:numPr>
      </w:pPr>
      <w:r>
        <w:t xml:space="preserve">Agent selection: By team managers</w:t>
      </w:r>
    </w:p>
    <w:p>
      <w:pPr>
        <w:pStyle w:val="Compact"/>
        <w:numPr>
          <w:ilvl w:val="2"/>
          <w:numId w:val="1025"/>
        </w:numPr>
      </w:pPr>
      <w:r>
        <w:t xml:space="preserve">Stagger training within a team to minimize service disruption</w:t>
      </w:r>
    </w:p>
    <w:p>
      <w:pPr>
        <w:pStyle w:val="Compact"/>
        <w:numPr>
          <w:ilvl w:val="2"/>
          <w:numId w:val="1025"/>
        </w:numPr>
      </w:pPr>
      <w:r>
        <w:t xml:space="preserve">Priority given to higher productive agents←des stats</w:t>
      </w:r>
    </w:p>
    <w:bookmarkEnd w:id="45"/>
    <w:bookmarkStart w:id="48" w:name="empirical-strategy"/>
    <w:p>
      <w:pPr>
        <w:pStyle w:val="Heading2"/>
      </w:pPr>
      <w:r>
        <w:t xml:space="preserve">Empirical Strategy</w:t>
      </w:r>
    </w:p>
    <w:bookmarkStart w:id="46" w:name="identification"/>
    <w:p>
      <w:pPr>
        <w:pStyle w:val="Heading3"/>
      </w:pPr>
      <w:r>
        <w:t xml:space="preserve">Identification</w:t>
      </w:r>
    </w:p>
    <w:p>
      <w:pPr>
        <w:pStyle w:val="Compact"/>
        <w:numPr>
          <w:ilvl w:val="0"/>
          <w:numId w:val="1026"/>
        </w:numPr>
      </w:pPr>
      <w:r>
        <w:t xml:space="preserve">Robust DID←staggered rollout of the AI tool</w:t>
      </w:r>
    </w:p>
    <w:p>
      <w:pPr>
        <w:pStyle w:val="Compact"/>
        <w:numPr>
          <w:ilvl w:val="0"/>
          <w:numId w:val="1026"/>
        </w:numPr>
      </w:pPr>
      <w:r>
        <w:t xml:space="preserve">No pre-trend (Fig II), but selective treatment assignment</w:t>
      </w:r>
    </w:p>
    <w:bookmarkEnd w:id="46"/>
    <w:bookmarkStart w:id="47" w:name="estimation"/>
    <w:p>
      <w:pPr>
        <w:pStyle w:val="Heading3"/>
      </w:pPr>
      <w:r>
        <w:t xml:space="preserve">Estimation</w:t>
      </w:r>
    </w:p>
    <w:p>
      <w:pPr>
        <w:pStyle w:val="FirstParagraph"/>
      </w:pPr>
      <m:oMathPara>
        <m:oMathParaPr>
          <m:jc m:val="center"/>
        </m:oMathParaPr>
        <m:oMath>
          <m:m>
            <m:mPr>
              <m:baseJc m:val="center"/>
              <m:plcHide m:val="on"/>
              <m:mcs>
                <m:mc>
                  <m:mcPr>
                    <m:mcJc m:val="right"/>
                    <m:count m:val="1"/>
                  </m:mcPr>
                </m:mc>
                <m:mc>
                  <m:mcPr>
                    <m:mcJc m:val="left"/>
                    <m:count m:val="1"/>
                  </m:mcPr>
                </m:mc>
                <m:mc>
                  <m:mcPr>
                    <m:mcJc m:val="right"/>
                    <m:count m:val="1"/>
                  </m:mcPr>
                </m:mc>
                <m:mc>
                  <m:mcPr>
                    <m:mcJc m:val="left"/>
                    <m:count m:val="1"/>
                  </m:mcPr>
                </m:mc>
              </m:mcs>
            </m:mPr>
            <m:mr>
              <m:e>
                <m:sSub>
                  <m:e>
                    <m:r>
                      <m:t>y</m:t>
                    </m:r>
                  </m:e>
                  <m:sub>
                    <m:r>
                      <m:t>i</m:t>
                    </m:r>
                    <m:r>
                      <m:t>t</m:t>
                    </m:r>
                  </m:sub>
                </m:sSub>
              </m:e>
              <m:e>
                <m:r>
                  <m:rPr>
                    <m:sty m:val="p"/>
                  </m:rPr>
                  <m:t>=</m:t>
                </m:r>
                <m:sSub>
                  <m:e>
                    <m:r>
                      <m:t>δ</m:t>
                    </m:r>
                  </m:e>
                  <m:sub>
                    <m:r>
                      <m:t>t</m:t>
                    </m:r>
                  </m:sub>
                </m:sSub>
                <m:r>
                  <m:rPr>
                    <m:sty m:val="p"/>
                  </m:rPr>
                  <m:t>+</m:t>
                </m:r>
                <m:sSub>
                  <m:e>
                    <m:r>
                      <m:t>α</m:t>
                    </m:r>
                  </m:e>
                  <m:sub>
                    <m:r>
                      <m:t>i</m:t>
                    </m:r>
                  </m:sub>
                </m:sSub>
                <m:r>
                  <m:rPr>
                    <m:sty m:val="p"/>
                  </m:rPr>
                  <m:t>+</m:t>
                </m:r>
                <m:r>
                  <m:t>β</m:t>
                </m:r>
                <m:r>
                  <m:t>A</m:t>
                </m:r>
                <m:sSub>
                  <m:e>
                    <m:r>
                      <m:t>I</m:t>
                    </m:r>
                  </m:e>
                  <m:sub>
                    <m:r>
                      <m:t>i</m:t>
                    </m:r>
                    <m:r>
                      <m:t>t</m:t>
                    </m:r>
                  </m:sub>
                </m:sSub>
              </m:e>
              <m:e/>
              <m:e>
                <m:r>
                  <m:rPr>
                    <m:sty m:val="p"/>
                  </m:rPr>
                  <m:t>+</m:t>
                </m:r>
                <m:r>
                  <m:rPr>
                    <m:sty m:val="b"/>
                  </m:rPr>
                  <m:t>γ</m:t>
                </m:r>
                <m:r>
                  <m:rPr>
                    <m:sty m:val="b"/>
                  </m:rPr>
                  <m:t>′</m:t>
                </m:r>
                <m:sSub>
                  <m:e>
                    <m:r>
                      <m:rPr>
                        <m:sty m:val="b"/>
                      </m:rPr>
                      <m:t>x</m:t>
                    </m:r>
                  </m:e>
                  <m:sub>
                    <m:r>
                      <m:t>i</m:t>
                    </m:r>
                    <m:r>
                      <m:t>t</m:t>
                    </m:r>
                  </m:sub>
                </m:sSub>
                <m:r>
                  <m:rPr>
                    <m:sty m:val="p"/>
                  </m:rPr>
                  <m:t>+</m:t>
                </m:r>
                <m:sSub>
                  <m:e>
                    <m:r>
                      <m:t>ϵ</m:t>
                    </m:r>
                  </m:e>
                  <m:sub>
                    <m:r>
                      <m:t>i</m:t>
                    </m:r>
                    <m:r>
                      <m:t>t</m:t>
                    </m:r>
                  </m:sub>
                </m:sSub>
              </m:e>
            </m:mr>
            <m:mr>
              <m:e>
                <m:sSub>
                  <m:e>
                    <m:r>
                      <m:t>y</m:t>
                    </m:r>
                  </m:e>
                  <m:sub>
                    <m:r>
                      <m:t>i</m:t>
                    </m:r>
                    <m:r>
                      <m:t>t</m:t>
                    </m:r>
                  </m:sub>
                </m:sSub>
              </m:e>
              <m:e>
                <m:r>
                  <m:rPr>
                    <m:sty m:val="p"/>
                  </m:rPr>
                  <m:t>=</m:t>
                </m:r>
                <m:sSub>
                  <m:e>
                    <m:r>
                      <m:t>δ</m:t>
                    </m:r>
                  </m:e>
                  <m:sub>
                    <m:r>
                      <m:t>t</m:t>
                    </m:r>
                  </m:sub>
                </m:sSub>
                <m:r>
                  <m:rPr>
                    <m:sty m:val="p"/>
                  </m:rPr>
                  <m:t>+</m:t>
                </m:r>
                <m:sSub>
                  <m:e>
                    <m:r>
                      <m:t>α</m:t>
                    </m:r>
                  </m:e>
                  <m:sub>
                    <m:r>
                      <m:t>i</m:t>
                    </m:r>
                  </m:sub>
                </m:sSub>
                <m:r>
                  <m:rPr>
                    <m:sty m:val="p"/>
                  </m:rPr>
                  <m:t>+</m:t>
                </m:r>
                <m:nary>
                  <m:naryPr>
                    <m:chr m:val="∑"/>
                    <m:limLoc m:val="undOvr"/>
                    <m:subHide m:val="off"/>
                    <m:supHide m:val="off"/>
                  </m:naryPr>
                  <m:sub>
                    <m:r>
                      <m:t>r</m:t>
                    </m:r>
                    <m:r>
                      <m:rPr>
                        <m:sty m:val="p"/>
                      </m:rPr>
                      <m:t>=</m:t>
                    </m:r>
                    <m:r>
                      <m:t>1</m:t>
                    </m:r>
                  </m:sub>
                  <m:sup>
                    <m:r>
                      <m:t>4</m:t>
                    </m:r>
                  </m:sup>
                  <m:e>
                    <m:sSub>
                      <m:e>
                        <m:r>
                          <m:t>β</m:t>
                        </m:r>
                      </m:e>
                      <m:sub>
                        <m:r>
                          <m:t>r</m:t>
                        </m:r>
                      </m:sub>
                    </m:sSub>
                  </m:e>
                </m:nary>
                <m:r>
                  <m:t>A</m:t>
                </m:r>
                <m:sSub>
                  <m:e>
                    <m:r>
                      <m:t>I</m:t>
                    </m:r>
                  </m:e>
                  <m:sub>
                    <m:r>
                      <m:t>i</m:t>
                    </m:r>
                    <m:r>
                      <m:t>t</m:t>
                    </m:r>
                  </m:sub>
                </m:sSub>
                <m:r>
                  <m:rPr>
                    <m:sty m:val="p"/>
                  </m:rPr>
                  <m:t>×</m:t>
                </m:r>
                <m:sSub>
                  <m:e>
                    <m:r>
                      <m:t>q</m:t>
                    </m:r>
                  </m:e>
                  <m:sub>
                    <m:r>
                      <m:t>r</m:t>
                    </m:r>
                  </m:sub>
                </m:sSub>
              </m:e>
              <m:e/>
              <m:e>
                <m:r>
                  <m:rPr>
                    <m:sty m:val="p"/>
                  </m:rPr>
                  <m:t>+</m:t>
                </m:r>
                <m:r>
                  <m:rPr>
                    <m:sty m:val="b"/>
                  </m:rPr>
                  <m:t>γ</m:t>
                </m:r>
                <m:r>
                  <m:rPr>
                    <m:sty m:val="b"/>
                  </m:rPr>
                  <m:t>′</m:t>
                </m:r>
                <m:sSub>
                  <m:e>
                    <m:r>
                      <m:rPr>
                        <m:sty m:val="b"/>
                      </m:rPr>
                      <m:t>x</m:t>
                    </m:r>
                  </m:e>
                  <m:sub>
                    <m:r>
                      <m:t>i</m:t>
                    </m:r>
                    <m:r>
                      <m:t>t</m:t>
                    </m:r>
                  </m:sub>
                </m:sSub>
                <m:r>
                  <m:rPr>
                    <m:sty m:val="p"/>
                  </m:rPr>
                  <m:t>+</m:t>
                </m:r>
                <m:sSub>
                  <m:e>
                    <m:r>
                      <m:t>ϵ</m:t>
                    </m:r>
                  </m:e>
                  <m:sub>
                    <m:r>
                      <m:t>i</m:t>
                    </m:r>
                    <m:r>
                      <m:t>t</m:t>
                    </m:r>
                  </m:sub>
                </m:sSub>
              </m:e>
            </m:mr>
            <m:mr>
              <m:e/>
            </m:mr>
          </m:m>
        </m:oMath>
      </m:oMathPara>
    </w:p>
    <w:p>
      <w:pPr>
        <w:pStyle w:val="FirstParagraph"/>
      </w:pPr>
      <m:oMath>
        <m:sSub>
          <m:e>
            <m:r>
              <m:t>q</m:t>
            </m:r>
          </m:e>
          <m:sub>
            <m:r>
              <m:t>r</m:t>
            </m:r>
          </m:sub>
        </m:sSub>
      </m:oMath>
      <w:r>
        <w:t xml:space="preserve">: Productivity quantile, overall topic frequency quantile, agent’s topic frequency quantile, adherence quantile</w:t>
      </w:r>
    </w:p>
    <w:p>
      <w:pPr>
        <w:pStyle w:val="Compact"/>
        <w:numPr>
          <w:ilvl w:val="0"/>
          <w:numId w:val="1027"/>
        </w:numPr>
      </w:pPr>
      <w:r>
        <w:t xml:space="preserve">Sun and Abraham (</w:t>
      </w:r>
      <w:hyperlink w:anchor="ref-SunAbraham2021">
        <w:r>
          <w:rPr>
            <w:rStyle w:val="Hyperlink"/>
          </w:rPr>
          <w:t xml:space="preserve">2021</w:t>
        </w:r>
      </w:hyperlink>
      <w:r>
        <w:t xml:space="preserve">)</w:t>
      </w:r>
      <w:r>
        <w:t xml:space="preserve"> </w:t>
      </w:r>
      <w:r>
        <w:t xml:space="preserve">estimator using never-treated as control</w:t>
      </w:r>
    </w:p>
    <w:p>
      <w:pPr>
        <w:pStyle w:val="Compact"/>
        <w:numPr>
          <w:ilvl w:val="1"/>
          <w:numId w:val="1028"/>
        </w:numPr>
      </w:pPr>
      <w:r>
        <w:t xml:space="preserve">Callaway and Sant’Anna (</w:t>
      </w:r>
      <w:hyperlink w:anchor="ref-CallawaySantAnna2021">
        <w:r>
          <w:rPr>
            <w:rStyle w:val="Hyperlink"/>
          </w:rPr>
          <w:t xml:space="preserve">2021</w:t>
        </w:r>
      </w:hyperlink>
      <w:r>
        <w:t xml:space="preserve">)</w:t>
      </w:r>
      <w:r>
        <w:t xml:space="preserve"> </w:t>
      </w:r>
      <w:r>
        <w:t xml:space="preserve">uses not-yet-treated as control</w:t>
      </w:r>
    </w:p>
    <w:p>
      <w:pPr>
        <w:pStyle w:val="Compact"/>
        <w:numPr>
          <w:ilvl w:val="1"/>
          <w:numId w:val="1028"/>
        </w:numPr>
      </w:pPr>
      <w:r>
        <w:t xml:space="preserve">de Chaisemartin and D’Haultfœuille (</w:t>
      </w:r>
      <w:hyperlink w:anchor="ref-dCDH2020">
        <w:r>
          <w:rPr>
            <w:rStyle w:val="Hyperlink"/>
          </w:rPr>
          <w:t xml:space="preserve">2020</w:t>
        </w:r>
      </w:hyperlink>
      <w:r>
        <w:t xml:space="preserve">)</w:t>
      </w:r>
      <w:r>
        <w:t xml:space="preserve"> </w:t>
      </w:r>
      <w:r>
        <w:t xml:space="preserve">is for stayers</w:t>
      </w:r>
    </w:p>
    <w:p>
      <w:pPr>
        <w:pStyle w:val="Compact"/>
        <w:numPr>
          <w:ilvl w:val="1"/>
          <w:numId w:val="1028"/>
        </w:numPr>
      </w:pPr>
      <w:r>
        <w:t xml:space="preserve">Borusyak, Jaravel, and Spiess (</w:t>
      </w:r>
      <w:hyperlink w:anchor="ref-BorusyakJaravelSpiess2024">
        <w:r>
          <w:rPr>
            <w:rStyle w:val="Hyperlink"/>
          </w:rPr>
          <w:t xml:space="preserve">2024</w:t>
        </w:r>
      </w:hyperlink>
      <w:r>
        <w:t xml:space="preserve">)</w:t>
      </w:r>
      <w:r>
        <w:t xml:space="preserve"> </w:t>
      </w:r>
      <w:r>
        <w:t xml:space="preserve">is imputation based, more model oriented</w:t>
      </w:r>
    </w:p>
    <w:p>
      <w:pPr>
        <w:pStyle w:val="Compact"/>
        <w:numPr>
          <w:ilvl w:val="1"/>
          <w:numId w:val="1028"/>
        </w:numPr>
      </w:pPr>
      <w:r>
        <w:t xml:space="preserve">Results are qualitatively similar</w:t>
      </w:r>
    </w:p>
    <w:bookmarkEnd w:id="47"/>
    <w:bookmarkEnd w:id="48"/>
    <w:bookmarkStart w:id="55" w:name="results"/>
    <w:p>
      <w:pPr>
        <w:pStyle w:val="Heading2"/>
      </w:pPr>
      <w:r>
        <w:t xml:space="preserve">Results</w:t>
      </w:r>
    </w:p>
    <w:bookmarkStart w:id="52" w:name="main-impacts"/>
    <w:p>
      <w:pPr>
        <w:pStyle w:val="Heading3"/>
      </w:pPr>
      <w:r>
        <w:t xml:space="preserve">Main impacts</w:t>
      </w:r>
    </w:p>
    <w:p>
      <w:pPr>
        <w:pStyle w:val="FirstParagraph"/>
      </w:pPr>
      <w:r>
        <w:drawing>
          <wp:inline>
            <wp:extent cx="5334000" cy="5141423"/>
            <wp:effectExtent b="0" l="0" r="0" t="0"/>
            <wp:docPr descr="" title="" id="50" name="Picture"/>
            <a:graphic>
              <a:graphicData uri="http://schemas.openxmlformats.org/drawingml/2006/picture">
                <pic:pic>
                  <pic:nvPicPr>
                    <pic:cNvPr descr="FigAIII.jpg" id="51" name="Picture"/>
                    <pic:cNvPicPr>
                      <a:picLocks noChangeArrowheads="1" noChangeAspect="1"/>
                    </pic:cNvPicPr>
                  </pic:nvPicPr>
                  <pic:blipFill>
                    <a:blip r:embed="rId49"/>
                    <a:stretch>
                      <a:fillRect/>
                    </a:stretch>
                  </pic:blipFill>
                  <pic:spPr bwMode="auto">
                    <a:xfrm>
                      <a:off x="0" y="0"/>
                      <a:ext cx="5334000" cy="5141423"/>
                    </a:xfrm>
                    <a:prstGeom prst="rect">
                      <a:avLst/>
                    </a:prstGeom>
                    <a:noFill/>
                    <a:ln w="9525">
                      <a:noFill/>
                      <a:headEnd/>
                      <a:tailEnd/>
                    </a:ln>
                  </pic:spPr>
                </pic:pic>
              </a:graphicData>
            </a:graphic>
          </wp:inline>
        </w:drawing>
      </w:r>
    </w:p>
    <w:tbl>
      <w:tblPr>
        <w:tblStyle w:val="FigureTable"/>
        <w:tblW w:type="auto" w:w="0"/>
        <w:jc w:val="center"/>
        <w:tblLook w:firstRow="0" w:lastRow="0" w:firstColumn="0" w:lastColumn="0"/>
      </w:tblPr>
      <w:tblGrid>
        <w:gridCol w:w="7920"/>
      </w:tblGrid>
      <w:tr>
        <w:tc>
          <w:tcPr/>
          <w:p>
            <w:pPr>
              <w:pStyle w:val="Compact"/>
              <w:jc w:val="center"/>
            </w:pPr>
            <w:r>
              <w:t xml:space="preserve">Fig VIII</w:t>
            </w:r>
          </w:p>
        </w:tc>
      </w:tr>
    </w:tbl>
    <w:p>
      <w:pPr>
        <w:pStyle w:val="ImageCaption"/>
      </w:pPr>
      <w:r>
        <w:t xml:space="preserve">Fig VIII</w:t>
      </w:r>
    </w:p>
    <w:p>
      <w:pPr>
        <w:pStyle w:val="BodyText"/>
      </w:pPr>
      <w:r>
        <w:t xml:space="preserve">Overall Productivity (</w:t>
      </w:r>
      <w:r>
        <w:rPr>
          <w:rStyle w:val="VerbatimChar"/>
        </w:rPr>
        <w:t xml:space="preserve">Table II</w:t>
      </w:r>
      <w:r>
        <w:t xml:space="preserve">,</w:t>
      </w:r>
      <w:r>
        <w:t xml:space="preserve"> </w:t>
      </w:r>
      <w:r>
        <w:rPr>
          <w:rStyle w:val="VerbatimChar"/>
        </w:rPr>
        <w:t xml:space="preserve">Figure II</w:t>
      </w:r>
      <w:r>
        <w:t xml:space="preserve">)</w:t>
      </w:r>
    </w:p>
    <w:p>
      <w:pPr>
        <w:pStyle w:val="Compact"/>
        <w:numPr>
          <w:ilvl w:val="0"/>
          <w:numId w:val="1029"/>
        </w:numPr>
      </w:pPr>
      <w:r>
        <w:t xml:space="preserve">Resolutions Per Hour (RPH)</w:t>
      </w:r>
      <w:r>
        <w:t xml:space="preserve"> </w:t>
      </w:r>
      <w:r>
        <w:rPr>
          <w:rStyle w:val="VerbatimChar"/>
        </w:rPr>
        <w:t xml:space="preserve">↑ 15%</w:t>
      </w:r>
      <w:r>
        <w:t xml:space="preserve">.</w:t>
      </w:r>
    </w:p>
    <w:p>
      <w:pPr>
        <w:pStyle w:val="Compact"/>
        <w:numPr>
          <w:ilvl w:val="0"/>
          <w:numId w:val="1029"/>
        </w:numPr>
      </w:pPr>
      <w:r>
        <w:t xml:space="preserve">Average Handle Time (AHT)</w:t>
      </w:r>
      <w:r>
        <w:t xml:space="preserve"> </w:t>
      </w:r>
      <w:r>
        <w:rPr>
          <w:rStyle w:val="VerbatimChar"/>
        </w:rPr>
        <w:t xml:space="preserve">↓ 8.5%</w:t>
      </w:r>
      <w:r>
        <w:t xml:space="preserve">.</w:t>
      </w:r>
    </w:p>
    <w:p>
      <w:pPr>
        <w:pStyle w:val="Compact"/>
        <w:numPr>
          <w:ilvl w:val="0"/>
          <w:numId w:val="1029"/>
        </w:numPr>
      </w:pPr>
      <w:r>
        <w:t xml:space="preserve">Chats Per Hour (CPH)</w:t>
      </w:r>
      <w:r>
        <w:t xml:space="preserve"> </w:t>
      </w:r>
      <w:r>
        <w:rPr>
          <w:rStyle w:val="VerbatimChar"/>
        </w:rPr>
        <w:t xml:space="preserve">↑ 15%</w:t>
      </w:r>
      <w:r>
        <w:t xml:space="preserve"> </w:t>
      </w:r>
      <w:r>
        <w:t xml:space="preserve">(more multitasking) (</w:t>
      </w:r>
      <w:r>
        <w:rPr>
          <w:rStyle w:val="VerbatimChar"/>
        </w:rPr>
        <w:t xml:space="preserve">Table III</w:t>
      </w:r>
      <w:r>
        <w:t xml:space="preserve">).</w:t>
      </w:r>
    </w:p>
    <w:bookmarkEnd w:id="52"/>
    <w:bookmarkStart w:id="53" w:name="Xb59293e910f1aefa476825543dc2d0f63e7eb25"/>
    <w:p>
      <w:pPr>
        <w:pStyle w:val="Heading3"/>
      </w:pPr>
      <w:r>
        <w:t xml:space="preserve">Heterogeneity by skill &amp; experience, by topic</w:t>
      </w:r>
    </w:p>
    <w:p>
      <w:pPr>
        <w:pStyle w:val="Compact"/>
        <w:numPr>
          <w:ilvl w:val="0"/>
          <w:numId w:val="1030"/>
        </w:numPr>
      </w:pPr>
      <w:r>
        <w:t xml:space="preserve">By skill (</w:t>
      </w:r>
      <w:r>
        <w:rPr>
          <w:rStyle w:val="VerbatimChar"/>
        </w:rPr>
        <w:t xml:space="preserve">Figure III</w:t>
      </w:r>
      <w:r>
        <w:t xml:space="preserve">)</w:t>
      </w:r>
    </w:p>
    <w:p>
      <w:pPr>
        <w:pStyle w:val="Compact"/>
        <w:numPr>
          <w:ilvl w:val="1"/>
          <w:numId w:val="1031"/>
        </w:numPr>
      </w:pPr>
      <w:r>
        <w:t xml:space="preserve">Lowest-skill agents: RPH</w:t>
      </w:r>
      <w:r>
        <w:t xml:space="preserve"> </w:t>
      </w:r>
      <w:r>
        <w:rPr>
          <w:rStyle w:val="VerbatimChar"/>
        </w:rPr>
        <w:t xml:space="preserve">↑ 36%</w:t>
      </w:r>
    </w:p>
    <w:p>
      <w:pPr>
        <w:pStyle w:val="Compact"/>
        <w:numPr>
          <w:ilvl w:val="1"/>
          <w:numId w:val="1031"/>
        </w:numPr>
      </w:pPr>
      <w:r>
        <w:t xml:space="preserve">Highest-skill agents: No gain. Small decrease in quality</w:t>
      </w:r>
    </w:p>
    <w:p>
      <w:pPr>
        <w:pStyle w:val="Compact"/>
        <w:numPr>
          <w:ilvl w:val="0"/>
          <w:numId w:val="1030"/>
        </w:numPr>
      </w:pPr>
      <w:r>
        <w:t xml:space="preserve">By experience (</w:t>
      </w:r>
      <w:r>
        <w:rPr>
          <w:rStyle w:val="VerbatimChar"/>
        </w:rPr>
        <w:t xml:space="preserve">Figure IV</w:t>
      </w:r>
      <w:r>
        <w:t xml:space="preserve">)</w:t>
      </w:r>
    </w:p>
    <w:p>
      <w:pPr>
        <w:pStyle w:val="Compact"/>
        <w:numPr>
          <w:ilvl w:val="1"/>
          <w:numId w:val="1032"/>
        </w:numPr>
      </w:pPr>
      <w:r>
        <w:t xml:space="preserve">Newest agents see largest gains</w:t>
      </w:r>
    </w:p>
    <w:p>
      <w:pPr>
        <w:pStyle w:val="Compact"/>
        <w:numPr>
          <w:ilvl w:val="1"/>
          <w:numId w:val="1032"/>
        </w:numPr>
      </w:pPr>
      <w:r>
        <w:t xml:space="preserve">Experienced agents (&gt;1 year) see no gain</w:t>
      </w:r>
    </w:p>
    <w:p>
      <w:pPr>
        <w:pStyle w:val="Compact"/>
        <w:numPr>
          <w:ilvl w:val="1"/>
          <w:numId w:val="1032"/>
        </w:numPr>
      </w:pPr>
      <w:r>
        <w:t xml:space="preserve">Faster learning (</w:t>
      </w:r>
      <w:r>
        <w:rPr>
          <w:rStyle w:val="VerbatimChar"/>
        </w:rPr>
        <w:t xml:space="preserve">Figure V</w:t>
      </w:r>
      <w:r>
        <w:t xml:space="preserve">): An agent with 2 months of AI experience is as productive as an agent with 6+ months of experience without AI</w:t>
      </w:r>
    </w:p>
    <w:p>
      <w:pPr>
        <w:pStyle w:val="Compact"/>
        <w:numPr>
          <w:ilvl w:val="0"/>
          <w:numId w:val="1030"/>
        </w:numPr>
      </w:pPr>
      <w:r>
        <w:t xml:space="preserve">By topic frequency (</w:t>
      </w:r>
      <w:r>
        <w:rPr>
          <w:rStyle w:val="VerbatimChar"/>
        </w:rPr>
        <w:t xml:space="preserve">Figure VIII</w:t>
      </w:r>
      <w:r>
        <w:t xml:space="preserve">)</w:t>
      </w:r>
    </w:p>
    <w:p>
      <w:pPr>
        <w:pStyle w:val="Compact"/>
        <w:numPr>
          <w:ilvl w:val="1"/>
          <w:numId w:val="1033"/>
        </w:numPr>
      </w:pPr>
      <w:r>
        <w:t xml:space="preserve">U-shaped: Moderately rare topics had the biggest impacts</w:t>
      </w:r>
    </w:p>
    <w:p>
      <w:pPr>
        <w:pStyle w:val="Compact"/>
        <w:numPr>
          <w:ilvl w:val="2"/>
          <w:numId w:val="1034"/>
        </w:numPr>
      </w:pPr>
      <w:r>
        <w:t xml:space="preserve">Rarity↑ ⇒ sophistication↓ ← fewer data to train AI</w:t>
      </w:r>
    </w:p>
    <w:p>
      <w:pPr>
        <w:pStyle w:val="Compact"/>
        <w:numPr>
          <w:ilvl w:val="2"/>
          <w:numId w:val="1034"/>
        </w:numPr>
      </w:pPr>
      <w:r>
        <w:t xml:space="preserve">Rarity↑ = more room for improvements</w:t>
      </w:r>
    </w:p>
    <w:bookmarkEnd w:id="53"/>
    <w:bookmarkStart w:id="54" w:name="other-effects"/>
    <w:p>
      <w:pPr>
        <w:pStyle w:val="Heading3"/>
      </w:pPr>
      <w:r>
        <w:t xml:space="preserve">Other effects</w:t>
      </w:r>
    </w:p>
    <w:p>
      <w:pPr>
        <w:pStyle w:val="FirstParagraph"/>
      </w:pPr>
      <w:r>
        <w:t xml:space="preserve">Experience of work</w:t>
      </w:r>
    </w:p>
    <w:p>
      <w:pPr>
        <w:pStyle w:val="Compact"/>
        <w:numPr>
          <w:ilvl w:val="0"/>
          <w:numId w:val="1035"/>
        </w:numPr>
      </w:pPr>
      <w:r>
        <w:t xml:space="preserve">Customer sentiment: Customers are more positive and polite (</w:t>
      </w:r>
      <w:r>
        <w:rPr>
          <w:rStyle w:val="VerbatimChar"/>
        </w:rPr>
        <w:t xml:space="preserve">Figure X</w:t>
      </w:r>
      <w:r>
        <w:t xml:space="preserve">,</w:t>
      </w:r>
      <w:r>
        <w:t xml:space="preserve"> </w:t>
      </w:r>
      <w:r>
        <w:rPr>
          <w:rStyle w:val="VerbatimChar"/>
        </w:rPr>
        <w:t xml:space="preserve">Table IV</w:t>
      </w:r>
      <w:r>
        <w:t xml:space="preserve">)</w:t>
      </w:r>
    </w:p>
    <w:p>
      <w:pPr>
        <w:pStyle w:val="Compact"/>
        <w:numPr>
          <w:ilvl w:val="0"/>
          <w:numId w:val="1035"/>
        </w:numPr>
      </w:pPr>
      <w:r>
        <w:t xml:space="preserve">Escalations: Requests to</w:t>
      </w:r>
      <w:r>
        <w:t xml:space="preserve"> </w:t>
      </w:r>
      <w:r>
        <w:t xml:space="preserve">“speak to a manager”</w:t>
      </w:r>
      <w:r>
        <w:t xml:space="preserve"> </w:t>
      </w:r>
      <w:r>
        <w:rPr>
          <w:rStyle w:val="VerbatimChar"/>
        </w:rPr>
        <w:t xml:space="preserve">↓ 25%</w:t>
      </w:r>
      <w:r>
        <w:t xml:space="preserve"> </w:t>
      </w:r>
      <w:r>
        <w:t xml:space="preserve">(</w:t>
      </w:r>
      <w:r>
        <w:rPr>
          <w:rStyle w:val="VerbatimChar"/>
        </w:rPr>
        <w:t xml:space="preserve">Figure X</w:t>
      </w:r>
      <w:r>
        <w:t xml:space="preserve">,</w:t>
      </w:r>
      <w:r>
        <w:t xml:space="preserve"> </w:t>
      </w:r>
      <w:r>
        <w:rPr>
          <w:rStyle w:val="VerbatimChar"/>
        </w:rPr>
        <w:t xml:space="preserve">Table IV</w:t>
      </w:r>
      <w:r>
        <w:t xml:space="preserve">)</w:t>
      </w:r>
    </w:p>
    <w:p>
      <w:pPr>
        <w:pStyle w:val="Compact"/>
        <w:numPr>
          <w:ilvl w:val="0"/>
          <w:numId w:val="1035"/>
        </w:numPr>
      </w:pPr>
      <w:r>
        <w:t xml:space="preserve">Attrition: Employee turnover</w:t>
      </w:r>
      <w:r>
        <w:t xml:space="preserve"> </w:t>
      </w:r>
      <w:r>
        <w:rPr>
          <w:rStyle w:val="VerbatimChar"/>
        </w:rPr>
        <w:t xml:space="preserve">↓8.7%</w:t>
      </w:r>
      <w:r>
        <w:t xml:space="preserve">, more pronounced for new workers</w:t>
      </w:r>
    </w:p>
    <w:bookmarkEnd w:id="54"/>
    <w:bookmarkEnd w:id="55"/>
    <w:bookmarkStart w:id="67" w:name="mechanisms"/>
    <w:p>
      <w:pPr>
        <w:pStyle w:val="Heading2"/>
      </w:pPr>
      <w:r>
        <w:t xml:space="preserve">Mechanisms</w:t>
      </w:r>
    </w:p>
    <w:p>
      <w:pPr>
        <w:pStyle w:val="FirstParagraph"/>
      </w:pPr>
      <w:r>
        <w:t xml:space="preserve">Pathways</w:t>
      </w:r>
    </w:p>
    <w:p>
      <w:pPr>
        <w:pStyle w:val="BodyText"/>
      </w:pPr>
      <w:r>
        <w:drawing>
          <wp:inline>
            <wp:extent cx="5334000" cy="5232098"/>
            <wp:effectExtent b="0" l="0" r="0" t="0"/>
            <wp:docPr descr="" title="" id="57" name="Picture"/>
            <a:graphic>
              <a:graphicData uri="http://schemas.openxmlformats.org/drawingml/2006/picture">
                <pic:pic>
                  <pic:nvPicPr>
                    <pic:cNvPr descr="FigVIB.jpg" id="58" name="Picture"/>
                    <pic:cNvPicPr>
                      <a:picLocks noChangeArrowheads="1" noChangeAspect="1"/>
                    </pic:cNvPicPr>
                  </pic:nvPicPr>
                  <pic:blipFill>
                    <a:blip r:embed="rId56"/>
                    <a:stretch>
                      <a:fillRect/>
                    </a:stretch>
                  </pic:blipFill>
                  <pic:spPr bwMode="auto">
                    <a:xfrm>
                      <a:off x="0" y="0"/>
                      <a:ext cx="5334000" cy="5232098"/>
                    </a:xfrm>
                    <a:prstGeom prst="rect">
                      <a:avLst/>
                    </a:prstGeom>
                    <a:noFill/>
                    <a:ln w="9525">
                      <a:noFill/>
                      <a:headEnd/>
                      <a:tailEnd/>
                    </a:ln>
                  </pic:spPr>
                </pic:pic>
              </a:graphicData>
            </a:graphic>
          </wp:inline>
        </w:drawing>
      </w:r>
    </w:p>
    <w:p>
      <w:pPr>
        <w:pStyle w:val="BodyText"/>
      </w:pPr>
      <w:r>
        <w:drawing>
          <wp:inline>
            <wp:extent cx="5334000" cy="6158442"/>
            <wp:effectExtent b="0" l="0" r="0" t="0"/>
            <wp:docPr descr="" title="" id="60" name="Picture"/>
            <a:graphic>
              <a:graphicData uri="http://schemas.openxmlformats.org/drawingml/2006/picture">
                <pic:pic>
                  <pic:nvPicPr>
                    <pic:cNvPr descr="FigVII.jpg" id="61" name="Picture"/>
                    <pic:cNvPicPr>
                      <a:picLocks noChangeArrowheads="1" noChangeAspect="1"/>
                    </pic:cNvPicPr>
                  </pic:nvPicPr>
                  <pic:blipFill>
                    <a:blip r:embed="rId59"/>
                    <a:stretch>
                      <a:fillRect/>
                    </a:stretch>
                  </pic:blipFill>
                  <pic:spPr bwMode="auto">
                    <a:xfrm>
                      <a:off x="0" y="0"/>
                      <a:ext cx="5334000" cy="6158442"/>
                    </a:xfrm>
                    <a:prstGeom prst="rect">
                      <a:avLst/>
                    </a:prstGeom>
                    <a:noFill/>
                    <a:ln w="9525">
                      <a:noFill/>
                      <a:headEnd/>
                      <a:tailEnd/>
                    </a:ln>
                  </pic:spPr>
                </pic:pic>
              </a:graphicData>
            </a:graphic>
          </wp:inline>
        </w:drawing>
      </w:r>
    </w:p>
    <w:p>
      <w:pPr>
        <w:pStyle w:val="BodyText"/>
      </w:pPr>
      <w:r>
        <w:drawing>
          <wp:inline>
            <wp:extent cx="5334000" cy="5457553"/>
            <wp:effectExtent b="0" l="0" r="0" t="0"/>
            <wp:docPr descr="" title="" id="63" name="Picture"/>
            <a:graphic>
              <a:graphicData uri="http://schemas.openxmlformats.org/drawingml/2006/picture">
                <pic:pic>
                  <pic:nvPicPr>
                    <pic:cNvPr descr="FigIX.jpg" id="64" name="Picture"/>
                    <pic:cNvPicPr>
                      <a:picLocks noChangeArrowheads="1" noChangeAspect="1"/>
                    </pic:cNvPicPr>
                  </pic:nvPicPr>
                  <pic:blipFill>
                    <a:blip r:embed="rId62"/>
                    <a:stretch>
                      <a:fillRect/>
                    </a:stretch>
                  </pic:blipFill>
                  <pic:spPr bwMode="auto">
                    <a:xfrm>
                      <a:off x="0" y="0"/>
                      <a:ext cx="5334000" cy="5457553"/>
                    </a:xfrm>
                    <a:prstGeom prst="rect">
                      <a:avLst/>
                    </a:prstGeom>
                    <a:noFill/>
                    <a:ln w="9525">
                      <a:noFill/>
                      <a:headEnd/>
                      <a:tailEnd/>
                    </a:ln>
                  </pic:spPr>
                </pic:pic>
              </a:graphicData>
            </a:graphic>
          </wp:inline>
        </w:drawing>
      </w:r>
    </w:p>
    <w:p>
      <w:pPr>
        <w:pStyle w:val="Compact"/>
        <w:numPr>
          <w:ilvl w:val="0"/>
          <w:numId w:val="1036"/>
        </w:numPr>
      </w:pPr>
      <w:r>
        <w:t xml:space="preserve">Adherence: adherence↑ ⇒ productivity↑ (</w:t>
      </w:r>
      <w:r>
        <w:rPr>
          <w:rStyle w:val="VerbatimChar"/>
        </w:rPr>
        <w:t xml:space="preserve">Figure VI</w:t>
      </w:r>
      <w:r>
        <w:t xml:space="preserve">)</w:t>
      </w:r>
    </w:p>
    <w:p>
      <w:pPr>
        <w:pStyle w:val="Compact"/>
        <w:numPr>
          <w:ilvl w:val="0"/>
          <w:numId w:val="1036"/>
        </w:numPr>
      </w:pPr>
      <w:r>
        <w:t xml:space="preserve">Durable learning: Productivity gains persist even during AI outages (</w:t>
      </w:r>
      <w:r>
        <w:rPr>
          <w:rStyle w:val="VerbatimChar"/>
        </w:rPr>
        <w:t xml:space="preserve">Figure VII</w:t>
      </w:r>
      <w:r>
        <w:t xml:space="preserve">)</w:t>
      </w:r>
      <w:r>
        <w:rPr>
          <w:rStyle w:val="FootnoteReference"/>
        </w:rPr>
        <w:footnoteReference w:id="65"/>
      </w:r>
    </w:p>
    <w:p>
      <w:pPr>
        <w:pStyle w:val="Compact"/>
        <w:numPr>
          <w:ilvl w:val="0"/>
          <w:numId w:val="1036"/>
        </w:numPr>
      </w:pPr>
      <w:r>
        <w:t xml:space="preserve">Communication: English fluency↑ (</w:t>
      </w:r>
      <w:r>
        <w:rPr>
          <w:rStyle w:val="VerbatimChar"/>
        </w:rPr>
        <w:t xml:space="preserve">Figure IX</w:t>
      </w:r>
      <w:r>
        <w:t xml:space="preserve">), low-skill agents communicate more like high-skill agents (textual convergence)</w:t>
      </w:r>
      <w:r>
        <w:rPr>
          <w:rStyle w:val="FootnoteReference"/>
        </w:rPr>
        <w:footnoteReference w:id="66"/>
      </w:r>
    </w:p>
    <w:bookmarkEnd w:id="67"/>
    <w:bookmarkStart w:id="68" w:name="conclusion"/>
    <w:p>
      <w:pPr>
        <w:pStyle w:val="Heading2"/>
      </w:pPr>
      <w:r>
        <w:t xml:space="preserve">Conclusion</w:t>
      </w:r>
    </w:p>
    <w:p>
      <w:pPr>
        <w:pStyle w:val="Compact"/>
        <w:numPr>
          <w:ilvl w:val="0"/>
          <w:numId w:val="1037"/>
        </w:numPr>
      </w:pPr>
      <w:r>
        <w:t xml:space="preserve">Early empirical evidence on the effects of a generative AI tool in a real-world workplace</w:t>
      </w:r>
    </w:p>
    <w:p>
      <w:pPr>
        <w:pStyle w:val="Compact"/>
        <w:numPr>
          <w:ilvl w:val="0"/>
          <w:numId w:val="1037"/>
        </w:numPr>
      </w:pPr>
      <w:r>
        <w:t xml:space="preserve">AI-generated recommendations:</w:t>
      </w:r>
    </w:p>
    <w:p>
      <w:pPr>
        <w:pStyle w:val="Compact"/>
        <w:numPr>
          <w:ilvl w:val="1"/>
          <w:numId w:val="1038"/>
        </w:numPr>
      </w:pPr>
      <w:r>
        <w:t xml:space="preserve">Increases overall worker productivity by 15%</w:t>
      </w:r>
    </w:p>
    <w:p>
      <w:pPr>
        <w:pStyle w:val="Compact"/>
        <w:numPr>
          <w:ilvl w:val="1"/>
          <w:numId w:val="1038"/>
        </w:numPr>
      </w:pPr>
      <w:r>
        <w:t xml:space="preserve">Larger effects for lower-skill and novice agents</w:t>
      </w:r>
    </w:p>
    <w:p>
      <w:pPr>
        <w:pStyle w:val="Compact"/>
        <w:numPr>
          <w:ilvl w:val="1"/>
          <w:numId w:val="1038"/>
        </w:numPr>
      </w:pPr>
      <w:r>
        <w:t xml:space="preserve">Improve worker on-the-job experiences</w:t>
      </w:r>
    </w:p>
    <w:p>
      <w:pPr>
        <w:pStyle w:val="Compact"/>
        <w:numPr>
          <w:ilvl w:val="0"/>
          <w:numId w:val="1037"/>
        </w:numPr>
      </w:pPr>
      <w:r>
        <w:t xml:space="preserve">Productivity gains reflect durable worker learning</w:t>
      </w:r>
    </w:p>
    <w:bookmarkEnd w:id="68"/>
    <w:bookmarkStart w:id="86" w:name="感想"/>
    <w:p>
      <w:pPr>
        <w:pStyle w:val="Heading2"/>
      </w:pPr>
      <w:r>
        <w:rPr>
          <w:rFonts w:hint="eastAsia"/>
        </w:rPr>
        <w:t xml:space="preserve">感想</w:t>
      </w:r>
    </w:p>
    <w:p>
      <w:pPr>
        <w:pStyle w:val="Compact"/>
        <w:numPr>
          <w:ilvl w:val="0"/>
          <w:numId w:val="1039"/>
        </w:numPr>
      </w:pPr>
      <w:r>
        <w:rPr>
          <w:rFonts w:hint="eastAsia"/>
        </w:rPr>
        <w:t xml:space="preserve">AI利用⇒労働生産性、に関する本格的な効果推計←みんな待ってた</w:t>
      </w:r>
    </w:p>
    <w:p>
      <w:pPr>
        <w:pStyle w:val="Compact"/>
        <w:numPr>
          <w:ilvl w:val="0"/>
          <w:numId w:val="1039"/>
        </w:numPr>
      </w:pPr>
      <w:r>
        <w:rPr>
          <w:rFonts w:hint="eastAsia"/>
        </w:rPr>
        <w:t xml:space="preserve">最大の貢献:</w:t>
      </w:r>
      <w:r>
        <w:t xml:space="preserve"> </w:t>
      </w:r>
      <w:r>
        <w:rPr>
          <w:rFonts w:hint="eastAsia"/>
        </w:rPr>
        <w:t xml:space="preserve">AIが熟練を代替(熟練労働賃金への示唆)</w:t>
      </w:r>
    </w:p>
    <w:p>
      <w:pPr>
        <w:pStyle w:val="Compact"/>
        <w:numPr>
          <w:ilvl w:val="1"/>
          <w:numId w:val="1040"/>
        </w:numPr>
      </w:pPr>
      <w:r>
        <w:t xml:space="preserve">skil leveling effects</w:t>
      </w:r>
    </w:p>
    <w:p>
      <w:pPr>
        <w:pStyle w:val="Compact"/>
        <w:numPr>
          <w:ilvl w:val="1"/>
          <w:numId w:val="1040"/>
        </w:numPr>
      </w:pPr>
      <w:r>
        <w:rPr>
          <w:rFonts w:hint="eastAsia"/>
        </w:rPr>
        <w:t xml:space="preserve">格差縮小(?)…ではないかも</w:t>
      </w:r>
    </w:p>
    <w:p>
      <w:pPr>
        <w:pStyle w:val="Compact"/>
        <w:numPr>
          <w:ilvl w:val="0"/>
          <w:numId w:val="1039"/>
        </w:numPr>
      </w:pPr>
      <w:r>
        <w:rPr>
          <w:rFonts w:hint="eastAsia"/>
        </w:rPr>
        <w:t xml:space="preserve">chatレヴェルの詳細なデータを得たのが素晴らしい…質(resolutions)と量(chats,</w:t>
      </w:r>
      <w:r>
        <w:t xml:space="preserve"> handling </w:t>
      </w:r>
      <w:r>
        <w:rPr>
          <w:rFonts w:hint="eastAsia"/>
        </w:rPr>
        <w:t xml:space="preserve">time)へのインパクトを示し、AI効果の理解に貢献</w:t>
      </w:r>
    </w:p>
    <w:p>
      <w:pPr>
        <w:pStyle w:val="Compact"/>
        <w:numPr>
          <w:ilvl w:val="0"/>
          <w:numId w:val="1039"/>
        </w:numPr>
      </w:pPr>
      <w:r>
        <w:rPr>
          <w:rFonts w:hint="eastAsia"/>
        </w:rPr>
        <w:t xml:space="preserve">「長期への懸念」も指摘:</w:t>
      </w:r>
      <w:r>
        <w:t xml:space="preserve"> </w:t>
      </w:r>
      <w:r>
        <w:rPr>
          <w:rFonts w:hint="eastAsia"/>
        </w:rPr>
        <w:t xml:space="preserve">労働生産性格差がなくなり、熟練への報酬がいずれ下がるので、トレーニング・データを提供していた高技能労働者のデータ提供誘因が弱まる</w:t>
      </w:r>
    </w:p>
    <w:p>
      <w:pPr>
        <w:pStyle w:val="Compact"/>
        <w:numPr>
          <w:ilvl w:val="1"/>
          <w:numId w:val="1041"/>
        </w:numPr>
      </w:pPr>
      <w:r>
        <w:rPr>
          <w:rFonts w:hint="eastAsia"/>
        </w:rPr>
        <w:t xml:space="preserve">AIが高技能労働者を駆逐すると、環境が変わったときに成功事例を開拓して学習材料を人がいなくなる</w:t>
      </w:r>
    </w:p>
    <w:p>
      <w:pPr>
        <w:pStyle w:val="Compact"/>
        <w:numPr>
          <w:ilvl w:val="0"/>
          <w:numId w:val="1039"/>
        </w:numPr>
      </w:pPr>
      <w:r>
        <w:t xml:space="preserve">Outage study (falsification </w:t>
      </w:r>
      <w:r>
        <w:rPr>
          <w:rFonts w:hint="eastAsia"/>
        </w:rPr>
        <w:t xml:space="preserve">test)はメカニズムを検証する賢い検定</w:t>
      </w:r>
    </w:p>
    <w:p>
      <w:pPr>
        <w:pStyle w:val="Compact"/>
        <w:numPr>
          <w:ilvl w:val="0"/>
          <w:numId w:val="1039"/>
        </w:numPr>
      </w:pPr>
      <w:r>
        <w:t xml:space="preserve">しかし、durable </w:t>
      </w:r>
      <w:r>
        <w:rPr>
          <w:rFonts w:hint="eastAsia"/>
        </w:rPr>
        <w:t xml:space="preserve">learningは推計結果がはっきりしない</w:t>
      </w:r>
    </w:p>
    <w:p>
      <w:pPr>
        <w:pStyle w:val="Compact"/>
        <w:numPr>
          <w:ilvl w:val="0"/>
          <w:numId w:val="1039"/>
        </w:numPr>
      </w:pPr>
      <w:r>
        <w:rPr>
          <w:rFonts w:hint="eastAsia"/>
        </w:rPr>
        <w:t xml:space="preserve">低生産性エージェントはコピペしているだけかも</w:t>
      </w:r>
    </w:p>
    <w:p>
      <w:pPr>
        <w:pStyle w:val="Compact"/>
        <w:numPr>
          <w:ilvl w:val="1"/>
          <w:numId w:val="1042"/>
        </w:numPr>
      </w:pPr>
      <w:r>
        <w:rPr>
          <w:rFonts w:hint="eastAsia"/>
        </w:rPr>
        <w:t xml:space="preserve">模範解答を反復して覚えてしまう</w:t>
      </w:r>
    </w:p>
    <w:p>
      <w:pPr>
        <w:pStyle w:val="Compact"/>
        <w:numPr>
          <w:ilvl w:val="1"/>
          <w:numId w:val="1042"/>
        </w:numPr>
      </w:pPr>
      <w:r>
        <w:rPr>
          <w:rFonts w:hint="eastAsia"/>
        </w:rPr>
        <w:t xml:space="preserve">学習…か?</w:t>
      </w:r>
    </w:p>
    <w:p>
      <w:pPr>
        <w:pStyle w:val="Compact"/>
        <w:numPr>
          <w:ilvl w:val="1"/>
          <w:numId w:val="1042"/>
        </w:numPr>
      </w:pPr>
      <w:r>
        <w:t xml:space="preserve">それでいいかも</w:t>
      </w:r>
    </w:p>
    <w:p>
      <w:pPr>
        <w:pStyle w:val="Compact"/>
        <w:numPr>
          <w:ilvl w:val="0"/>
          <w:numId w:val="1039"/>
        </w:numPr>
      </w:pPr>
      <w:r>
        <w:rPr>
          <w:rFonts w:hint="eastAsia"/>
        </w:rPr>
        <w:t xml:space="preserve">外的妥当性</w:t>
      </w:r>
    </w:p>
    <w:p>
      <w:pPr>
        <w:pStyle w:val="Compact"/>
        <w:numPr>
          <w:ilvl w:val="1"/>
          <w:numId w:val="1043"/>
        </w:numPr>
      </w:pPr>
      <w:r>
        <w:rPr>
          <w:rFonts w:hint="eastAsia"/>
        </w:rPr>
        <w:t xml:space="preserve">これは非定型nonroutineタスクか?</w:t>
      </w:r>
      <w:r>
        <w:t xml:space="preserve"> </w:t>
      </w:r>
      <w:r>
        <w:rPr>
          <w:rFonts w:hint="eastAsia"/>
        </w:rPr>
        <w:t xml:space="preserve">問答の類型routine化は可能だが、ケース分けが多すぎてマニュアルにするのがすごく大変というだけでは?</w:t>
      </w:r>
    </w:p>
    <w:p>
      <w:pPr>
        <w:pStyle w:val="Compact"/>
        <w:numPr>
          <w:ilvl w:val="2"/>
          <w:numId w:val="1044"/>
        </w:numPr>
      </w:pPr>
      <w:r>
        <w:rPr>
          <w:rFonts w:hint="eastAsia"/>
        </w:rPr>
        <w:t xml:space="preserve">受け身:</w:t>
      </w:r>
      <w:r>
        <w:t xml:space="preserve"> </w:t>
      </w:r>
      <w:r>
        <w:rPr>
          <w:rFonts w:hint="eastAsia"/>
        </w:rPr>
        <w:t xml:space="preserve">労働者はプロンプトを出さないので、受動的にgo</w:t>
      </w:r>
      <w:r>
        <w:t xml:space="preserve"> with the </w:t>
      </w:r>
      <w:r>
        <w:rPr>
          <w:rFonts w:hint="eastAsia"/>
        </w:rPr>
        <w:t xml:space="preserve">flowでアドバイスを取り込んでいる気がする</w:t>
      </w:r>
    </w:p>
    <w:p>
      <w:pPr>
        <w:pStyle w:val="Compact"/>
        <w:numPr>
          <w:ilvl w:val="2"/>
          <w:numId w:val="1044"/>
        </w:numPr>
      </w:pPr>
      <w:r>
        <w:rPr>
          <w:rFonts w:hint="eastAsia"/>
        </w:rPr>
        <w:t xml:space="preserve">AI=自動でアドバイスをくれる過保護な上司的存在</w:t>
      </w:r>
    </w:p>
    <w:p>
      <w:pPr>
        <w:pStyle w:val="Compact"/>
        <w:numPr>
          <w:ilvl w:val="2"/>
          <w:numId w:val="1044"/>
        </w:numPr>
      </w:pPr>
      <w:r>
        <w:rPr>
          <w:rFonts w:hint="eastAsia"/>
        </w:rPr>
        <w:t xml:space="preserve">AI利用=包括的マニュアルを作成する費用、検索する費用、表現調整する費用を劇的に下げていると理解可能</w:t>
      </w:r>
    </w:p>
    <w:p>
      <w:pPr>
        <w:pStyle w:val="Compact"/>
        <w:numPr>
          <w:ilvl w:val="1"/>
          <w:numId w:val="1043"/>
        </w:numPr>
      </w:pPr>
      <w:r>
        <w:rPr>
          <w:rFonts w:hint="eastAsia"/>
        </w:rPr>
        <w:t xml:space="preserve">AIへの入力(データ)と作業指示を(問題とその解決方法に応じて)人間が決めるunstructured</w:t>
      </w:r>
      <w:r>
        <w:t xml:space="preserve"> </w:t>
      </w:r>
      <w:r>
        <w:rPr>
          <w:rFonts w:hint="eastAsia"/>
        </w:rPr>
        <w:t xml:space="preserve">tasksでの影響とは違う</w:t>
      </w:r>
    </w:p>
    <w:p>
      <w:pPr>
        <w:numPr>
          <w:ilvl w:val="2"/>
          <w:numId w:val="1045"/>
        </w:numPr>
      </w:pPr>
      <w:r>
        <w:rPr>
          <w:rFonts w:hint="eastAsia"/>
        </w:rPr>
        <w:t xml:space="preserve">非テキスト・ベースのタスク=uncodifiable</w:t>
      </w:r>
    </w:p>
    <w:p>
      <w:pPr>
        <w:pStyle w:val="BlockText"/>
        <w:numPr>
          <w:ilvl w:val="2"/>
          <w:numId w:val="1000"/>
        </w:numPr>
      </w:pPr>
      <w:r>
        <w:t xml:space="preserve">manage employees, raise capital, pilot new initiatives, run advertising strategies, price their services, react to competitors, and decide which of these and myriad other tasks to focus their efforts on (Chandler, 1977, quoted from Otis et al. 2023)</w:t>
      </w:r>
    </w:p>
    <w:p>
      <w:pPr>
        <w:numPr>
          <w:ilvl w:val="2"/>
          <w:numId w:val="1045"/>
        </w:numPr>
      </w:pPr>
      <w:hyperlink r:id="rId32">
        <w:r>
          <w:rPr>
            <w:rStyle w:val="Hyperlink"/>
          </w:rPr>
          <w:t xml:space="preserve">Otis et al. (2023)</w:t>
        </w:r>
      </w:hyperlink>
      <w:r>
        <w:rPr>
          <w:rFonts w:hint="eastAsia"/>
        </w:rPr>
        <w:t xml:space="preserve">では優秀な経営者のみAIの利潤効果が正、それ以外は負</w:t>
      </w:r>
    </w:p>
    <w:bookmarkStart w:id="85" w:name="X09fca260dcefe65bd95d3c325f6e61951b1cc5a"/>
    <w:p>
      <w:pPr>
        <w:pStyle w:val="Heading3"/>
      </w:pPr>
      <w:r>
        <w:t xml:space="preserve">Derivation of the Occupation-Level Production Function</w:t>
      </w:r>
    </w:p>
    <w:p>
      <w:pPr>
        <w:pStyle w:val="FirstParagraph"/>
      </w:pPr>
      <w:r>
        <w:t xml:space="preserve">This document explains why</w:t>
      </w:r>
      <w:r>
        <w:t xml:space="preserve"> </w:t>
      </w:r>
      <w:r>
        <w:t xml:space="preserve">“linear aggregation ensures that the Cobb–Douglas form reemerges at the occupation level”</w:t>
      </w:r>
      <w:r>
        <w:t xml:space="preserve"> </w:t>
      </w:r>
      <w:r>
        <w:t xml:space="preserve">by deriving the occupation-level production function from the worker-level function, step by step.</w:t>
      </w:r>
    </w:p>
    <w:bookmarkStart w:id="69" w:name="X41c8aee4f0d9749b57ac4240533795abf454dcd"/>
    <w:p>
      <w:pPr>
        <w:pStyle w:val="Heading4"/>
      </w:pPr>
      <w:r>
        <w:rPr>
          <w:b/>
          <w:bCs/>
        </w:rPr>
        <w:t xml:space="preserve">The Building Blocks (Equations and Assumptions)</w:t>
      </w:r>
    </w:p>
    <w:p>
      <w:pPr>
        <w:numPr>
          <w:ilvl w:val="0"/>
          <w:numId w:val="1046"/>
        </w:numPr>
      </w:pPr>
      <w:r>
        <w:rPr>
          <w:b/>
          <w:bCs/>
        </w:rPr>
        <w:t xml:space="preserve">Worker-level output (Equation 5):</w:t>
      </w:r>
      <w:r>
        <w:t xml:space="preserve"> </w:t>
      </w:r>
      <w:r>
        <w:t xml:space="preserve">This is the output produced by a single worker</w:t>
      </w:r>
      <w:r>
        <w:t xml:space="preserve"> </w:t>
      </w:r>
      <m:oMath>
        <m:r>
          <m:t>i</m:t>
        </m:r>
      </m:oMath>
      <w:r>
        <w:t xml:space="preserve"> </w:t>
      </w:r>
      <w:r>
        <w:t xml:space="preserve">who is given</w:t>
      </w:r>
      <w:r>
        <w:t xml:space="preserve"> </w:t>
      </w:r>
      <m:oMath>
        <m:sSub>
          <m:e>
            <m:r>
              <m:t>k</m:t>
            </m:r>
          </m:e>
          <m:sub>
            <m:r>
              <m:t>i</m:t>
            </m:r>
          </m:sub>
        </m:sSub>
      </m:oMath>
      <w:r>
        <w:t xml:space="preserve"> </w:t>
      </w:r>
      <w:r>
        <w:t xml:space="preserve">units of capital.</w:t>
      </w:r>
    </w:p>
    <w:p>
      <w:pPr>
        <w:pStyle w:val="BodyText"/>
      </w:pPr>
      <m:oMathPara>
        <m:oMathParaPr>
          <m:jc m:val="center"/>
        </m:oMathParaPr>
        <m:oMath>
          <m:sSub>
            <m:e>
              <m:r>
                <m:t>y</m:t>
              </m:r>
            </m:e>
            <m:sub>
              <m:r>
                <m:t>i</m:t>
              </m:r>
            </m:sub>
          </m:sSub>
          <m:d>
            <m:dPr>
              <m:begChr m:val="("/>
              <m:sepChr m:val=""/>
              <m:endChr m:val=")"/>
              <m:grow/>
            </m:dPr>
            <m:e>
              <m:r>
                <m:t>ϕ</m:t>
              </m:r>
            </m:e>
          </m:d>
          <m:r>
            <m:rPr>
              <m:sty m:val="p"/>
            </m:rPr>
            <m:t>=</m:t>
          </m:r>
          <m:sSup>
            <m:e>
              <m:d>
                <m:dPr>
                  <m:begChr m:val="("/>
                  <m:sepChr m:val=""/>
                  <m:endChr m:val=")"/>
                  <m:grow/>
                </m:dPr>
                <m:e>
                  <m:f>
                    <m:fPr>
                      <m:type m:val="bar"/>
                    </m:fPr>
                    <m:num>
                      <m:r>
                        <m:t>1</m:t>
                      </m:r>
                    </m:num>
                    <m:den>
                      <m:r>
                        <m:t>1</m:t>
                      </m:r>
                      <m:r>
                        <m:rPr>
                          <m:sty m:val="p"/>
                        </m:rPr>
                        <m:t>−</m:t>
                      </m:r>
                      <m:r>
                        <m:t>α</m:t>
                      </m:r>
                      <m:d>
                        <m:dPr>
                          <m:begChr m:val="("/>
                          <m:sepChr m:val=""/>
                          <m:endChr m:val=")"/>
                          <m:grow/>
                        </m:dPr>
                        <m:e>
                          <m:r>
                            <m:t>ϕ</m:t>
                          </m:r>
                        </m:e>
                      </m:d>
                    </m:den>
                  </m:f>
                </m:e>
              </m:d>
            </m:e>
            <m:sup>
              <m:r>
                <m:t>1</m:t>
              </m:r>
              <m:r>
                <m:rPr>
                  <m:sty m:val="p"/>
                </m:rPr>
                <m:t>−</m:t>
              </m:r>
              <m:r>
                <m:t>α</m:t>
              </m:r>
              <m:d>
                <m:dPr>
                  <m:begChr m:val="("/>
                  <m:sepChr m:val=""/>
                  <m:endChr m:val=")"/>
                  <m:grow/>
                </m:dPr>
                <m:e>
                  <m:r>
                    <m:t>ϕ</m:t>
                  </m:r>
                </m:e>
              </m:d>
            </m:sup>
          </m:sSup>
          <m:r>
            <m:rPr>
              <m:sty m:val="p"/>
            </m:rPr>
            <m:t>⋅</m:t>
          </m:r>
          <m:sSup>
            <m:e>
              <m:d>
                <m:dPr>
                  <m:begChr m:val="("/>
                  <m:sepChr m:val=""/>
                  <m:endChr m:val=")"/>
                  <m:grow/>
                </m:dPr>
                <m:e>
                  <m:f>
                    <m:fPr>
                      <m:type m:val="bar"/>
                    </m:fPr>
                    <m:num>
                      <m:sSub>
                        <m:e>
                          <m:r>
                            <m:t>k</m:t>
                          </m:r>
                        </m:e>
                        <m:sub>
                          <m:r>
                            <m:t>i</m:t>
                          </m:r>
                        </m:sub>
                      </m:sSub>
                      <m:r>
                        <m:rPr>
                          <m:sty m:val="p"/>
                        </m:rPr>
                        <m:t>⋅</m:t>
                      </m:r>
                      <m:r>
                        <m:t>η</m:t>
                      </m:r>
                    </m:num>
                    <m:den>
                      <m:r>
                        <m:t>α</m:t>
                      </m:r>
                      <m:d>
                        <m:dPr>
                          <m:begChr m:val="("/>
                          <m:sepChr m:val=""/>
                          <m:endChr m:val=")"/>
                          <m:grow/>
                        </m:dPr>
                        <m:e>
                          <m:r>
                            <m:t>ϕ</m:t>
                          </m:r>
                        </m:e>
                      </m:d>
                    </m:den>
                  </m:f>
                </m:e>
              </m:d>
            </m:e>
            <m:sup>
              <m:r>
                <m:t>α</m:t>
              </m:r>
              <m:d>
                <m:dPr>
                  <m:begChr m:val="("/>
                  <m:sepChr m:val=""/>
                  <m:endChr m:val=")"/>
                  <m:grow/>
                </m:dPr>
                <m:e>
                  <m:r>
                    <m:t>ϕ</m:t>
                  </m:r>
                </m:e>
              </m:d>
            </m:sup>
          </m:sSup>
        </m:oMath>
      </m:oMathPara>
    </w:p>
    <w:p>
      <w:pPr>
        <w:numPr>
          <w:ilvl w:val="0"/>
          <w:numId w:val="1046"/>
        </w:numPr>
      </w:pPr>
      <w:r>
        <w:rPr>
          <w:b/>
          <w:bCs/>
        </w:rPr>
        <w:t xml:space="preserve">Aggregation Rule:</w:t>
      </w:r>
      <w:r>
        <w:t xml:space="preserve"> </w:t>
      </w:r>
      <w:r>
        <w:t xml:space="preserve">The total output of the occupation,</w:t>
      </w:r>
      <w:r>
        <w:t xml:space="preserve"> </w:t>
      </w:r>
      <m:oMath>
        <m:r>
          <m:t>Y</m:t>
        </m:r>
        <m:d>
          <m:dPr>
            <m:begChr m:val="("/>
            <m:sepChr m:val=""/>
            <m:endChr m:val=")"/>
            <m:grow/>
          </m:dPr>
          <m:e>
            <m:r>
              <m:t>ϕ</m:t>
            </m:r>
          </m:e>
        </m:d>
      </m:oMath>
      <w:r>
        <w:t xml:space="preserve">, is the linear sum (integral) of the outputs of all</w:t>
      </w:r>
      <w:r>
        <w:t xml:space="preserve"> </w:t>
      </w:r>
      <m:oMath>
        <m:r>
          <m:t>L</m:t>
        </m:r>
        <m:d>
          <m:dPr>
            <m:begChr m:val="("/>
            <m:sepChr m:val=""/>
            <m:endChr m:val=")"/>
            <m:grow/>
          </m:dPr>
          <m:e>
            <m:r>
              <m:t>ϕ</m:t>
            </m:r>
          </m:e>
        </m:d>
      </m:oMath>
      <w:r>
        <w:t xml:space="preserve"> </w:t>
      </w:r>
      <w:r>
        <w:t xml:space="preserve">individual workers employed in that occupation.</w:t>
      </w:r>
    </w:p>
    <w:p>
      <w:pPr>
        <w:pStyle w:val="BodyText"/>
      </w:pPr>
      <m:oMathPara>
        <m:oMathParaPr>
          <m:jc m:val="center"/>
        </m:oMathParaPr>
        <m:oMath>
          <m:r>
            <m:t>Y</m:t>
          </m:r>
          <m:d>
            <m:dPr>
              <m:begChr m:val="("/>
              <m:sepChr m:val=""/>
              <m:endChr m:val=")"/>
              <m:grow/>
            </m:dPr>
            <m:e>
              <m:r>
                <m:t>ϕ</m:t>
              </m:r>
            </m:e>
          </m:d>
          <m:r>
            <m:rPr>
              <m:sty m:val="p"/>
            </m:rPr>
            <m:t>=</m:t>
          </m:r>
          <m:nary>
            <m:naryPr>
              <m:chr m:val="∫"/>
              <m:limLoc m:val="subSup"/>
              <m:subHide m:val="off"/>
              <m:supHide m:val="on"/>
            </m:naryPr>
            <m:sub>
              <m:r>
                <m:t>i</m:t>
              </m:r>
              <m:r>
                <m:rPr>
                  <m:sty m:val="p"/>
                </m:rPr>
                <m:t>∈</m:t>
              </m:r>
              <m:sSup>
                <m:e>
                  <m:r>
                    <m:t>o</m:t>
                  </m:r>
                </m:e>
                <m:sup>
                  <m:r>
                    <m:rPr>
                      <m:sty m:val="p"/>
                    </m:rPr>
                    <m:t>−</m:t>
                  </m:r>
                  <m:r>
                    <m:t>1</m:t>
                  </m:r>
                </m:sup>
              </m:sSup>
              <m:d>
                <m:dPr>
                  <m:begChr m:val="("/>
                  <m:sepChr m:val=""/>
                  <m:endChr m:val=")"/>
                  <m:grow/>
                </m:dPr>
                <m:e>
                  <m:r>
                    <m:t>ϕ</m:t>
                  </m:r>
                </m:e>
              </m:d>
            </m:sub>
            <m:sup>
              <m:r>
                <m:t>​</m:t>
              </m:r>
            </m:sup>
            <m:e>
              <m:sSub>
                <m:e>
                  <m:r>
                    <m:t>y</m:t>
                  </m:r>
                </m:e>
                <m:sub>
                  <m:r>
                    <m:t>i</m:t>
                  </m:r>
                </m:sub>
              </m:sSub>
            </m:e>
          </m:nary>
          <m:d>
            <m:dPr>
              <m:begChr m:val="("/>
              <m:sepChr m:val=""/>
              <m:endChr m:val=")"/>
              <m:grow/>
            </m:dPr>
            <m:e>
              <m:r>
                <m:t>ϕ</m:t>
              </m:r>
            </m:e>
          </m:d>
          <m:r>
            <m:t>d</m:t>
          </m:r>
          <m:r>
            <m:t>μ</m:t>
          </m:r>
        </m:oMath>
      </m:oMathPara>
    </w:p>
    <w:p>
      <w:pPr>
        <w:numPr>
          <w:ilvl w:val="0"/>
          <w:numId w:val="1046"/>
        </w:numPr>
      </w:pPr>
      <w:r>
        <w:rPr>
          <w:b/>
          <w:bCs/>
        </w:rPr>
        <w:t xml:space="preserve">Optimal Capital Allocation:</w:t>
      </w:r>
      <w:r>
        <w:t xml:space="preserve"> </w:t>
      </w:r>
      <w:r>
        <w:t xml:space="preserve">To maximize total output, the total capital for the occupation,</w:t>
      </w:r>
      <w:r>
        <w:t xml:space="preserve"> </w:t>
      </w:r>
      <m:oMath>
        <m:r>
          <m:t>K</m:t>
        </m:r>
        <m:d>
          <m:dPr>
            <m:begChr m:val="("/>
            <m:sepChr m:val=""/>
            <m:endChr m:val=")"/>
            <m:grow/>
          </m:dPr>
          <m:e>
            <m:r>
              <m:t>ϕ</m:t>
            </m:r>
          </m:e>
        </m:d>
      </m:oMath>
      <w:r>
        <w:t xml:space="preserve">, is distributed uniformly among all</w:t>
      </w:r>
      <w:r>
        <w:t xml:space="preserve"> </w:t>
      </w:r>
      <m:oMath>
        <m:r>
          <m:t>L</m:t>
        </m:r>
        <m:d>
          <m:dPr>
            <m:begChr m:val="("/>
            <m:sepChr m:val=""/>
            <m:endChr m:val=")"/>
            <m:grow/>
          </m:dPr>
          <m:e>
            <m:r>
              <m:t>ϕ</m:t>
            </m:r>
          </m:e>
        </m:d>
      </m:oMath>
      <w:r>
        <w:t xml:space="preserve"> </w:t>
      </w:r>
      <w:r>
        <w:t xml:space="preserve">workers.</w:t>
      </w:r>
    </w:p>
    <w:p>
      <w:pPr>
        <w:pStyle w:val="BodyText"/>
      </w:pPr>
      <m:oMathPara>
        <m:oMathParaPr>
          <m:jc m:val="center"/>
        </m:oMathParaPr>
        <m:oMath>
          <m:sSub>
            <m:e>
              <m:r>
                <m:t>k</m:t>
              </m:r>
            </m:e>
            <m:sub>
              <m:r>
                <m:t>i</m:t>
              </m:r>
            </m:sub>
          </m:sSub>
          <m:r>
            <m:rPr>
              <m:sty m:val="p"/>
            </m:rPr>
            <m:t>=</m:t>
          </m:r>
          <m:f>
            <m:fPr>
              <m:type m:val="bar"/>
            </m:fPr>
            <m:num>
              <m:r>
                <m:t>K</m:t>
              </m:r>
              <m:d>
                <m:dPr>
                  <m:begChr m:val="("/>
                  <m:sepChr m:val=""/>
                  <m:endChr m:val=")"/>
                  <m:grow/>
                </m:dPr>
                <m:e>
                  <m:r>
                    <m:t>ϕ</m:t>
                  </m:r>
                </m:e>
              </m:d>
            </m:num>
            <m:den>
              <m:r>
                <m:t>L</m:t>
              </m:r>
              <m:d>
                <m:dPr>
                  <m:begChr m:val="("/>
                  <m:sepChr m:val=""/>
                  <m:endChr m:val=")"/>
                  <m:grow/>
                </m:dPr>
                <m:e>
                  <m:r>
                    <m:t>ϕ</m:t>
                  </m:r>
                </m:e>
              </m:d>
            </m:den>
          </m:f>
        </m:oMath>
      </m:oMathPara>
    </w:p>
    <w:bookmarkEnd w:id="69"/>
    <w:bookmarkStart w:id="70" w:name="step-by-step-derivation"/>
    <w:p>
      <w:pPr>
        <w:pStyle w:val="Heading4"/>
      </w:pPr>
      <w:r>
        <w:rPr>
          <w:b/>
          <w:bCs/>
        </w:rPr>
        <w:t xml:space="preserve">Step-by-Step Derivation</w:t>
      </w:r>
    </w:p>
    <w:p>
      <w:pPr>
        <w:numPr>
          <w:ilvl w:val="0"/>
          <w:numId w:val="1047"/>
        </w:numPr>
      </w:pPr>
      <w:r>
        <w:rPr>
          <w:b/>
          <w:bCs/>
        </w:rPr>
        <w:t xml:space="preserve">Start with the aggregation rule.</w:t>
      </w:r>
    </w:p>
    <w:p>
      <w:pPr>
        <w:pStyle w:val="BodyText"/>
      </w:pPr>
      <m:oMathPara>
        <m:oMathParaPr>
          <m:jc m:val="center"/>
        </m:oMathParaPr>
        <m:oMath>
          <m:r>
            <m:t>Y</m:t>
          </m:r>
          <m:d>
            <m:dPr>
              <m:begChr m:val="("/>
              <m:sepChr m:val=""/>
              <m:endChr m:val=")"/>
              <m:grow/>
            </m:dPr>
            <m:e>
              <m:r>
                <m:t>ϕ</m:t>
              </m:r>
            </m:e>
          </m:d>
          <m:r>
            <m:rPr>
              <m:sty m:val="p"/>
            </m:rPr>
            <m:t>=</m:t>
          </m:r>
          <m:nary>
            <m:naryPr>
              <m:chr m:val="∫"/>
              <m:limLoc m:val="subSup"/>
              <m:subHide m:val="off"/>
              <m:supHide m:val="on"/>
            </m:naryPr>
            <m:sub>
              <m:r>
                <m:t>i</m:t>
              </m:r>
              <m:r>
                <m:rPr>
                  <m:sty m:val="p"/>
                </m:rPr>
                <m:t>∈</m:t>
              </m:r>
              <m:sSup>
                <m:e>
                  <m:r>
                    <m:t>o</m:t>
                  </m:r>
                </m:e>
                <m:sup>
                  <m:r>
                    <m:rPr>
                      <m:sty m:val="p"/>
                    </m:rPr>
                    <m:t>−</m:t>
                  </m:r>
                  <m:r>
                    <m:t>1</m:t>
                  </m:r>
                </m:sup>
              </m:sSup>
              <m:d>
                <m:dPr>
                  <m:begChr m:val="("/>
                  <m:sepChr m:val=""/>
                  <m:endChr m:val=")"/>
                  <m:grow/>
                </m:dPr>
                <m:e>
                  <m:r>
                    <m:t>ϕ</m:t>
                  </m:r>
                </m:e>
              </m:d>
            </m:sub>
            <m:sup>
              <m:r>
                <m:t>​</m:t>
              </m:r>
            </m:sup>
            <m:e>
              <m:sSub>
                <m:e>
                  <m:r>
                    <m:t>y</m:t>
                  </m:r>
                </m:e>
                <m:sub>
                  <m:r>
                    <m:t>i</m:t>
                  </m:r>
                </m:sub>
              </m:sSub>
            </m:e>
          </m:nary>
          <m:d>
            <m:dPr>
              <m:begChr m:val="("/>
              <m:sepChr m:val=""/>
              <m:endChr m:val=")"/>
              <m:grow/>
            </m:dPr>
            <m:e>
              <m:r>
                <m:t>ϕ</m:t>
              </m:r>
            </m:e>
          </m:d>
          <m:r>
            <m:t>d</m:t>
          </m:r>
          <m:r>
            <m:t>μ</m:t>
          </m:r>
        </m:oMath>
      </m:oMathPara>
    </w:p>
    <w:p>
      <w:pPr>
        <w:numPr>
          <w:ilvl w:val="0"/>
          <w:numId w:val="1047"/>
        </w:numPr>
      </w:pPr>
      <w:r>
        <w:rPr>
          <w:b/>
          <w:bCs/>
        </w:rPr>
        <w:t xml:space="preserve">Substitute the worker-level production function into the integral.</w:t>
      </w:r>
    </w:p>
    <w:p>
      <w:pPr>
        <w:pStyle w:val="BodyText"/>
      </w:pPr>
      <m:oMathPara>
        <m:oMathParaPr>
          <m:jc m:val="center"/>
        </m:oMathParaPr>
        <m:oMath>
          <m:r>
            <m:t>Y</m:t>
          </m:r>
          <m:d>
            <m:dPr>
              <m:begChr m:val="("/>
              <m:sepChr m:val=""/>
              <m:endChr m:val=")"/>
              <m:grow/>
            </m:dPr>
            <m:e>
              <m:r>
                <m:t>ϕ</m:t>
              </m:r>
            </m:e>
          </m:d>
          <m:r>
            <m:rPr>
              <m:sty m:val="p"/>
            </m:rPr>
            <m:t>=</m:t>
          </m:r>
          <m:nary>
            <m:naryPr>
              <m:chr m:val="∫"/>
              <m:limLoc m:val="subSup"/>
              <m:subHide m:val="off"/>
              <m:supHide m:val="on"/>
            </m:naryPr>
            <m:sub>
              <m:r>
                <m:t>i</m:t>
              </m:r>
              <m:r>
                <m:rPr>
                  <m:sty m:val="p"/>
                </m:rPr>
                <m:t>∈</m:t>
              </m:r>
              <m:sSup>
                <m:e>
                  <m:r>
                    <m:t>o</m:t>
                  </m:r>
                </m:e>
                <m:sup>
                  <m:r>
                    <m:rPr>
                      <m:sty m:val="p"/>
                    </m:rPr>
                    <m:t>−</m:t>
                  </m:r>
                  <m:r>
                    <m:t>1</m:t>
                  </m:r>
                </m:sup>
              </m:sSup>
              <m:d>
                <m:dPr>
                  <m:begChr m:val="("/>
                  <m:sepChr m:val=""/>
                  <m:endChr m:val=")"/>
                  <m:grow/>
                </m:dPr>
                <m:e>
                  <m:r>
                    <m:t>ϕ</m:t>
                  </m:r>
                </m:e>
              </m:d>
            </m:sub>
            <m:sup>
              <m:r>
                <m:t>​</m:t>
              </m:r>
            </m:sup>
            <m:e>
              <m:d>
                <m:dPr>
                  <m:begChr m:val="["/>
                  <m:sepChr m:val=""/>
                  <m:endChr m:val="]"/>
                  <m:grow/>
                </m:dPr>
                <m:e>
                  <m:sSup>
                    <m:e>
                      <m:d>
                        <m:dPr>
                          <m:begChr m:val="("/>
                          <m:sepChr m:val=""/>
                          <m:endChr m:val=")"/>
                          <m:grow/>
                        </m:dPr>
                        <m:e>
                          <m:f>
                            <m:fPr>
                              <m:type m:val="bar"/>
                            </m:fPr>
                            <m:num>
                              <m:r>
                                <m:t>1</m:t>
                              </m:r>
                            </m:num>
                            <m:den>
                              <m:r>
                                <m:t>1</m:t>
                              </m:r>
                              <m:r>
                                <m:rPr>
                                  <m:sty m:val="p"/>
                                </m:rPr>
                                <m:t>−</m:t>
                              </m:r>
                              <m:r>
                                <m:t>α</m:t>
                              </m:r>
                              <m:d>
                                <m:dPr>
                                  <m:begChr m:val="("/>
                                  <m:sepChr m:val=""/>
                                  <m:endChr m:val=")"/>
                                  <m:grow/>
                                </m:dPr>
                                <m:e>
                                  <m:r>
                                    <m:t>ϕ</m:t>
                                  </m:r>
                                </m:e>
                              </m:d>
                            </m:den>
                          </m:f>
                        </m:e>
                      </m:d>
                    </m:e>
                    <m:sup>
                      <m:r>
                        <m:t>1</m:t>
                      </m:r>
                      <m:r>
                        <m:rPr>
                          <m:sty m:val="p"/>
                        </m:rPr>
                        <m:t>−</m:t>
                      </m:r>
                      <m:r>
                        <m:t>α</m:t>
                      </m:r>
                      <m:d>
                        <m:dPr>
                          <m:begChr m:val="("/>
                          <m:sepChr m:val=""/>
                          <m:endChr m:val=")"/>
                          <m:grow/>
                        </m:dPr>
                        <m:e>
                          <m:r>
                            <m:t>ϕ</m:t>
                          </m:r>
                        </m:e>
                      </m:d>
                    </m:sup>
                  </m:sSup>
                  <m:r>
                    <m:rPr>
                      <m:sty m:val="p"/>
                    </m:rPr>
                    <m:t>⋅</m:t>
                  </m:r>
                  <m:sSup>
                    <m:e>
                      <m:d>
                        <m:dPr>
                          <m:begChr m:val="("/>
                          <m:sepChr m:val=""/>
                          <m:endChr m:val=")"/>
                          <m:grow/>
                        </m:dPr>
                        <m:e>
                          <m:f>
                            <m:fPr>
                              <m:type m:val="bar"/>
                            </m:fPr>
                            <m:num>
                              <m:sSub>
                                <m:e>
                                  <m:r>
                                    <m:t>k</m:t>
                                  </m:r>
                                </m:e>
                                <m:sub>
                                  <m:r>
                                    <m:t>i</m:t>
                                  </m:r>
                                </m:sub>
                              </m:sSub>
                              <m:r>
                                <m:rPr>
                                  <m:sty m:val="p"/>
                                </m:rPr>
                                <m:t>⋅</m:t>
                              </m:r>
                              <m:r>
                                <m:t>η</m:t>
                              </m:r>
                            </m:num>
                            <m:den>
                              <m:r>
                                <m:t>α</m:t>
                              </m:r>
                              <m:d>
                                <m:dPr>
                                  <m:begChr m:val="("/>
                                  <m:sepChr m:val=""/>
                                  <m:endChr m:val=")"/>
                                  <m:grow/>
                                </m:dPr>
                                <m:e>
                                  <m:r>
                                    <m:t>ϕ</m:t>
                                  </m:r>
                                </m:e>
                              </m:d>
                            </m:den>
                          </m:f>
                        </m:e>
                      </m:d>
                    </m:e>
                    <m:sup>
                      <m:r>
                        <m:t>α</m:t>
                      </m:r>
                      <m:d>
                        <m:dPr>
                          <m:begChr m:val="("/>
                          <m:sepChr m:val=""/>
                          <m:endChr m:val=")"/>
                          <m:grow/>
                        </m:dPr>
                        <m:e>
                          <m:r>
                            <m:t>ϕ</m:t>
                          </m:r>
                        </m:e>
                      </m:d>
                    </m:sup>
                  </m:sSup>
                </m:e>
              </m:d>
            </m:e>
          </m:nary>
          <m:r>
            <m:t>d</m:t>
          </m:r>
          <m:r>
            <m:t>μ</m:t>
          </m:r>
        </m:oMath>
      </m:oMathPara>
    </w:p>
    <w:p>
      <w:pPr>
        <w:numPr>
          <w:ilvl w:val="0"/>
          <w:numId w:val="1047"/>
        </w:numPr>
      </w:pPr>
      <w:r>
        <w:rPr>
          <w:b/>
          <w:bCs/>
        </w:rPr>
        <w:t xml:space="preserve">Substitute the optimal capital per worker,</w:t>
      </w:r>
      <w:r>
        <w:rPr>
          <w:b/>
          <w:bCs/>
        </w:rPr>
        <w:t xml:space="preserve"> </w:t>
      </w:r>
      <m:oMath>
        <m:sSub>
          <m:e>
            <m:r>
              <m:t>k</m:t>
            </m:r>
          </m:e>
          <m:sub>
            <m:r>
              <m:t>i</m:t>
            </m:r>
          </m:sub>
        </m:sSub>
      </m:oMath>
      <w:r>
        <w:rPr>
          <w:b/>
          <w:bCs/>
        </w:rPr>
        <w:t xml:space="preserve">.</w:t>
      </w:r>
    </w:p>
    <w:p>
      <w:pPr>
        <w:pStyle w:val="BodyText"/>
      </w:pPr>
      <m:oMathPara>
        <m:oMathParaPr>
          <m:jc m:val="center"/>
        </m:oMathParaPr>
        <m:oMath>
          <m:r>
            <m:t>Y</m:t>
          </m:r>
          <m:d>
            <m:dPr>
              <m:begChr m:val="("/>
              <m:sepChr m:val=""/>
              <m:endChr m:val=")"/>
              <m:grow/>
            </m:dPr>
            <m:e>
              <m:r>
                <m:t>ϕ</m:t>
              </m:r>
            </m:e>
          </m:d>
          <m:r>
            <m:rPr>
              <m:sty m:val="p"/>
            </m:rPr>
            <m:t>=</m:t>
          </m:r>
          <m:nary>
            <m:naryPr>
              <m:chr m:val="∫"/>
              <m:limLoc m:val="subSup"/>
              <m:subHide m:val="off"/>
              <m:supHide m:val="on"/>
            </m:naryPr>
            <m:sub>
              <m:r>
                <m:t>i</m:t>
              </m:r>
              <m:r>
                <m:rPr>
                  <m:sty m:val="p"/>
                </m:rPr>
                <m:t>∈</m:t>
              </m:r>
              <m:sSup>
                <m:e>
                  <m:r>
                    <m:t>o</m:t>
                  </m:r>
                </m:e>
                <m:sup>
                  <m:r>
                    <m:rPr>
                      <m:sty m:val="p"/>
                    </m:rPr>
                    <m:t>−</m:t>
                  </m:r>
                  <m:r>
                    <m:t>1</m:t>
                  </m:r>
                </m:sup>
              </m:sSup>
              <m:d>
                <m:dPr>
                  <m:begChr m:val="("/>
                  <m:sepChr m:val=""/>
                  <m:endChr m:val=")"/>
                  <m:grow/>
                </m:dPr>
                <m:e>
                  <m:r>
                    <m:t>ϕ</m:t>
                  </m:r>
                </m:e>
              </m:d>
            </m:sub>
            <m:sup>
              <m:r>
                <m:t>​</m:t>
              </m:r>
            </m:sup>
            <m:e>
              <m:d>
                <m:dPr>
                  <m:begChr m:val="["/>
                  <m:sepChr m:val=""/>
                  <m:endChr m:val="]"/>
                  <m:grow/>
                </m:dPr>
                <m:e>
                  <m:sSup>
                    <m:e>
                      <m:d>
                        <m:dPr>
                          <m:begChr m:val="("/>
                          <m:sepChr m:val=""/>
                          <m:endChr m:val=")"/>
                          <m:grow/>
                        </m:dPr>
                        <m:e>
                          <m:f>
                            <m:fPr>
                              <m:type m:val="bar"/>
                            </m:fPr>
                            <m:num>
                              <m:r>
                                <m:t>1</m:t>
                              </m:r>
                            </m:num>
                            <m:den>
                              <m:r>
                                <m:t>1</m:t>
                              </m:r>
                              <m:r>
                                <m:rPr>
                                  <m:sty m:val="p"/>
                                </m:rPr>
                                <m:t>−</m:t>
                              </m:r>
                              <m:r>
                                <m:t>α</m:t>
                              </m:r>
                              <m:d>
                                <m:dPr>
                                  <m:begChr m:val="("/>
                                  <m:sepChr m:val=""/>
                                  <m:endChr m:val=")"/>
                                  <m:grow/>
                                </m:dPr>
                                <m:e>
                                  <m:r>
                                    <m:t>ϕ</m:t>
                                  </m:r>
                                </m:e>
                              </m:d>
                            </m:den>
                          </m:f>
                        </m:e>
                      </m:d>
                    </m:e>
                    <m:sup>
                      <m:r>
                        <m:t>1</m:t>
                      </m:r>
                      <m:r>
                        <m:rPr>
                          <m:sty m:val="p"/>
                        </m:rPr>
                        <m:t>−</m:t>
                      </m:r>
                      <m:r>
                        <m:t>α</m:t>
                      </m:r>
                      <m:d>
                        <m:dPr>
                          <m:begChr m:val="("/>
                          <m:sepChr m:val=""/>
                          <m:endChr m:val=")"/>
                          <m:grow/>
                        </m:dPr>
                        <m:e>
                          <m:r>
                            <m:t>ϕ</m:t>
                          </m:r>
                        </m:e>
                      </m:d>
                    </m:sup>
                  </m:sSup>
                  <m:r>
                    <m:rPr>
                      <m:sty m:val="p"/>
                    </m:rPr>
                    <m:t>⋅</m:t>
                  </m:r>
                  <m:sSup>
                    <m:e>
                      <m:d>
                        <m:dPr>
                          <m:begChr m:val="("/>
                          <m:sepChr m:val=""/>
                          <m:endChr m:val=")"/>
                          <m:grow/>
                        </m:dPr>
                        <m:e>
                          <m:f>
                            <m:fPr>
                              <m:type m:val="bar"/>
                            </m:fPr>
                            <m:num>
                              <m:f>
                                <m:fPr>
                                  <m:type m:val="bar"/>
                                </m:fPr>
                                <m:num>
                                  <m:r>
                                    <m:t>K</m:t>
                                  </m:r>
                                  <m:d>
                                    <m:dPr>
                                      <m:begChr m:val="("/>
                                      <m:sepChr m:val=""/>
                                      <m:endChr m:val=")"/>
                                      <m:grow/>
                                    </m:dPr>
                                    <m:e>
                                      <m:r>
                                        <m:t>ϕ</m:t>
                                      </m:r>
                                    </m:e>
                                  </m:d>
                                </m:num>
                                <m:den>
                                  <m:r>
                                    <m:t>L</m:t>
                                  </m:r>
                                  <m:d>
                                    <m:dPr>
                                      <m:begChr m:val="("/>
                                      <m:sepChr m:val=""/>
                                      <m:endChr m:val=")"/>
                                      <m:grow/>
                                    </m:dPr>
                                    <m:e>
                                      <m:r>
                                        <m:t>ϕ</m:t>
                                      </m:r>
                                    </m:e>
                                  </m:d>
                                </m:den>
                              </m:f>
                              <m:r>
                                <m:rPr>
                                  <m:sty m:val="p"/>
                                </m:rPr>
                                <m:t>⋅</m:t>
                              </m:r>
                              <m:r>
                                <m:t>η</m:t>
                              </m:r>
                            </m:num>
                            <m:den>
                              <m:r>
                                <m:t>α</m:t>
                              </m:r>
                              <m:d>
                                <m:dPr>
                                  <m:begChr m:val="("/>
                                  <m:sepChr m:val=""/>
                                  <m:endChr m:val=")"/>
                                  <m:grow/>
                                </m:dPr>
                                <m:e>
                                  <m:r>
                                    <m:t>ϕ</m:t>
                                  </m:r>
                                </m:e>
                              </m:d>
                            </m:den>
                          </m:f>
                        </m:e>
                      </m:d>
                    </m:e>
                    <m:sup>
                      <m:r>
                        <m:t>α</m:t>
                      </m:r>
                      <m:d>
                        <m:dPr>
                          <m:begChr m:val="("/>
                          <m:sepChr m:val=""/>
                          <m:endChr m:val=")"/>
                          <m:grow/>
                        </m:dPr>
                        <m:e>
                          <m:r>
                            <m:t>ϕ</m:t>
                          </m:r>
                        </m:e>
                      </m:d>
                    </m:sup>
                  </m:sSup>
                </m:e>
              </m:d>
            </m:e>
          </m:nary>
          <m:r>
            <m:t>d</m:t>
          </m:r>
          <m:r>
            <m:t>μ</m:t>
          </m:r>
        </m:oMath>
      </m:oMathPara>
    </w:p>
    <w:p>
      <w:pPr>
        <w:numPr>
          <w:ilvl w:val="0"/>
          <w:numId w:val="1047"/>
        </w:numPr>
      </w:pPr>
      <w:r>
        <w:rPr>
          <w:b/>
          <w:bCs/>
        </w:rPr>
        <w:t xml:space="preserve">Pull the constant term (the entire bracketed expression) out of the integral.</w:t>
      </w:r>
    </w:p>
    <w:p>
      <w:pPr>
        <w:pStyle w:val="BodyText"/>
      </w:pPr>
      <m:oMathPara>
        <m:oMathParaPr>
          <m:jc m:val="center"/>
        </m:oMathParaPr>
        <m:oMath>
          <m:r>
            <m:t>Y</m:t>
          </m:r>
          <m:d>
            <m:dPr>
              <m:begChr m:val="("/>
              <m:sepChr m:val=""/>
              <m:endChr m:val=")"/>
              <m:grow/>
            </m:dPr>
            <m:e>
              <m:r>
                <m:t>ϕ</m:t>
              </m:r>
            </m:e>
          </m:d>
          <m:r>
            <m:rPr>
              <m:sty m:val="p"/>
            </m:rPr>
            <m:t>=</m:t>
          </m:r>
          <m:d>
            <m:dPr>
              <m:begChr m:val="["/>
              <m:sepChr m:val=""/>
              <m:endChr m:val="]"/>
              <m:grow/>
            </m:dPr>
            <m:e>
              <m:sSup>
                <m:e>
                  <m:d>
                    <m:dPr>
                      <m:begChr m:val="("/>
                      <m:sepChr m:val=""/>
                      <m:endChr m:val=")"/>
                      <m:grow/>
                    </m:dPr>
                    <m:e>
                      <m:f>
                        <m:fPr>
                          <m:type m:val="bar"/>
                        </m:fPr>
                        <m:num>
                          <m:r>
                            <m:t>1</m:t>
                          </m:r>
                        </m:num>
                        <m:den>
                          <m:r>
                            <m:t>1</m:t>
                          </m:r>
                          <m:r>
                            <m:rPr>
                              <m:sty m:val="p"/>
                            </m:rPr>
                            <m:t>−</m:t>
                          </m:r>
                          <m:r>
                            <m:t>α</m:t>
                          </m:r>
                          <m:d>
                            <m:dPr>
                              <m:begChr m:val="("/>
                              <m:sepChr m:val=""/>
                              <m:endChr m:val=")"/>
                              <m:grow/>
                            </m:dPr>
                            <m:e>
                              <m:r>
                                <m:t>ϕ</m:t>
                              </m:r>
                            </m:e>
                          </m:d>
                        </m:den>
                      </m:f>
                    </m:e>
                  </m:d>
                </m:e>
                <m:sup>
                  <m:r>
                    <m:t>1</m:t>
                  </m:r>
                  <m:r>
                    <m:rPr>
                      <m:sty m:val="p"/>
                    </m:rPr>
                    <m:t>−</m:t>
                  </m:r>
                  <m:r>
                    <m:t>α</m:t>
                  </m:r>
                  <m:d>
                    <m:dPr>
                      <m:begChr m:val="("/>
                      <m:sepChr m:val=""/>
                      <m:endChr m:val=")"/>
                      <m:grow/>
                    </m:dPr>
                    <m:e>
                      <m:r>
                        <m:t>ϕ</m:t>
                      </m:r>
                    </m:e>
                  </m:d>
                </m:sup>
              </m:sSup>
              <m:r>
                <m:rPr>
                  <m:sty m:val="p"/>
                </m:rPr>
                <m:t>⋅</m:t>
              </m:r>
              <m:sSup>
                <m:e>
                  <m:d>
                    <m:dPr>
                      <m:begChr m:val="("/>
                      <m:sepChr m:val=""/>
                      <m:endChr m:val=")"/>
                      <m:grow/>
                    </m:dPr>
                    <m:e>
                      <m:f>
                        <m:fPr>
                          <m:type m:val="bar"/>
                        </m:fPr>
                        <m:num>
                          <m:f>
                            <m:fPr>
                              <m:type m:val="bar"/>
                            </m:fPr>
                            <m:num>
                              <m:r>
                                <m:t>K</m:t>
                              </m:r>
                              <m:d>
                                <m:dPr>
                                  <m:begChr m:val="("/>
                                  <m:sepChr m:val=""/>
                                  <m:endChr m:val=")"/>
                                  <m:grow/>
                                </m:dPr>
                                <m:e>
                                  <m:r>
                                    <m:t>ϕ</m:t>
                                  </m:r>
                                </m:e>
                              </m:d>
                            </m:num>
                            <m:den>
                              <m:r>
                                <m:t>L</m:t>
                              </m:r>
                              <m:d>
                                <m:dPr>
                                  <m:begChr m:val="("/>
                                  <m:sepChr m:val=""/>
                                  <m:endChr m:val=")"/>
                                  <m:grow/>
                                </m:dPr>
                                <m:e>
                                  <m:r>
                                    <m:t>ϕ</m:t>
                                  </m:r>
                                </m:e>
                              </m:d>
                            </m:den>
                          </m:f>
                          <m:r>
                            <m:rPr>
                              <m:sty m:val="p"/>
                            </m:rPr>
                            <m:t>⋅</m:t>
                          </m:r>
                          <m:r>
                            <m:t>η</m:t>
                          </m:r>
                        </m:num>
                        <m:den>
                          <m:r>
                            <m:t>α</m:t>
                          </m:r>
                          <m:d>
                            <m:dPr>
                              <m:begChr m:val="("/>
                              <m:sepChr m:val=""/>
                              <m:endChr m:val=")"/>
                              <m:grow/>
                            </m:dPr>
                            <m:e>
                              <m:r>
                                <m:t>ϕ</m:t>
                              </m:r>
                            </m:e>
                          </m:d>
                        </m:den>
                      </m:f>
                    </m:e>
                  </m:d>
                </m:e>
                <m:sup>
                  <m:r>
                    <m:t>α</m:t>
                  </m:r>
                  <m:d>
                    <m:dPr>
                      <m:begChr m:val="("/>
                      <m:sepChr m:val=""/>
                      <m:endChr m:val=")"/>
                      <m:grow/>
                    </m:dPr>
                    <m:e>
                      <m:r>
                        <m:t>ϕ</m:t>
                      </m:r>
                    </m:e>
                  </m:d>
                </m:sup>
              </m:sSup>
            </m:e>
          </m:d>
          <m:r>
            <m:rPr>
              <m:sty m:val="p"/>
            </m:rPr>
            <m:t>⋅</m:t>
          </m:r>
          <m:nary>
            <m:naryPr>
              <m:chr m:val="∫"/>
              <m:limLoc m:val="subSup"/>
              <m:subHide m:val="off"/>
              <m:supHide m:val="on"/>
            </m:naryPr>
            <m:sub>
              <m:r>
                <m:t>i</m:t>
              </m:r>
              <m:r>
                <m:rPr>
                  <m:sty m:val="p"/>
                </m:rPr>
                <m:t>∈</m:t>
              </m:r>
              <m:sSup>
                <m:e>
                  <m:r>
                    <m:t>o</m:t>
                  </m:r>
                </m:e>
                <m:sup>
                  <m:r>
                    <m:rPr>
                      <m:sty m:val="p"/>
                    </m:rPr>
                    <m:t>−</m:t>
                  </m:r>
                  <m:r>
                    <m:t>1</m:t>
                  </m:r>
                </m:sup>
              </m:sSup>
              <m:d>
                <m:dPr>
                  <m:begChr m:val="("/>
                  <m:sepChr m:val=""/>
                  <m:endChr m:val=")"/>
                  <m:grow/>
                </m:dPr>
                <m:e>
                  <m:r>
                    <m:t>ϕ</m:t>
                  </m:r>
                </m:e>
              </m:d>
            </m:sub>
            <m:sup>
              <m:r>
                <m:t>​</m:t>
              </m:r>
            </m:sup>
            <m:e>
              <m:r>
                <m:t>1</m:t>
              </m:r>
            </m:e>
          </m:nary>
          <m:r>
            <m:t>d</m:t>
          </m:r>
          <m:r>
            <m:t>μ</m:t>
          </m:r>
        </m:oMath>
      </m:oMathPara>
    </w:p>
    <w:p>
      <w:pPr>
        <w:numPr>
          <w:ilvl w:val="0"/>
          <w:numId w:val="1047"/>
        </w:numPr>
      </w:pPr>
      <w:r>
        <w:rPr>
          <w:b/>
          <w:bCs/>
        </w:rPr>
        <w:t xml:space="preserve">Evaluate the remaining integral, which is simply the total number of workers,</w:t>
      </w:r>
      <w:r>
        <w:rPr>
          <w:b/>
          <w:bCs/>
        </w:rPr>
        <w:t xml:space="preserve"> </w:t>
      </w:r>
      <m:oMath>
        <m:r>
          <m:t>L</m:t>
        </m:r>
        <m:d>
          <m:dPr>
            <m:begChr m:val="("/>
            <m:sepChr m:val=""/>
            <m:endChr m:val=")"/>
            <m:grow/>
          </m:dPr>
          <m:e>
            <m:r>
              <m:t>ϕ</m:t>
            </m:r>
          </m:e>
        </m:d>
      </m:oMath>
      <w:r>
        <w:rPr>
          <w:b/>
          <w:bCs/>
        </w:rPr>
        <w:t xml:space="preserve">.</w:t>
      </w:r>
    </w:p>
    <w:p>
      <w:pPr>
        <w:pStyle w:val="BodyText"/>
      </w:pPr>
      <m:oMathPara>
        <m:oMathParaPr>
          <m:jc m:val="center"/>
        </m:oMathParaPr>
        <m:oMath>
          <m:nary>
            <m:naryPr>
              <m:chr m:val="∫"/>
              <m:limLoc m:val="subSup"/>
              <m:subHide m:val="off"/>
              <m:supHide m:val="on"/>
            </m:naryPr>
            <m:sub>
              <m:r>
                <m:t>i</m:t>
              </m:r>
              <m:r>
                <m:rPr>
                  <m:sty m:val="p"/>
                </m:rPr>
                <m:t>∈</m:t>
              </m:r>
              <m:sSup>
                <m:e>
                  <m:r>
                    <m:t>o</m:t>
                  </m:r>
                </m:e>
                <m:sup>
                  <m:r>
                    <m:rPr>
                      <m:sty m:val="p"/>
                    </m:rPr>
                    <m:t>−</m:t>
                  </m:r>
                  <m:r>
                    <m:t>1</m:t>
                  </m:r>
                </m:sup>
              </m:sSup>
              <m:d>
                <m:dPr>
                  <m:begChr m:val="("/>
                  <m:sepChr m:val=""/>
                  <m:endChr m:val=")"/>
                  <m:grow/>
                </m:dPr>
                <m:e>
                  <m:r>
                    <m:t>ϕ</m:t>
                  </m:r>
                </m:e>
              </m:d>
            </m:sub>
            <m:sup>
              <m:r>
                <m:t>​</m:t>
              </m:r>
            </m:sup>
            <m:e>
              <m:r>
                <m:t>1</m:t>
              </m:r>
            </m:e>
          </m:nary>
          <m:r>
            <m:t>d</m:t>
          </m:r>
          <m:r>
            <m:t>μ</m:t>
          </m:r>
          <m:r>
            <m:rPr>
              <m:sty m:val="p"/>
            </m:rPr>
            <m:t>=</m:t>
          </m:r>
          <m:r>
            <m:t>L</m:t>
          </m:r>
          <m:d>
            <m:dPr>
              <m:begChr m:val="("/>
              <m:sepChr m:val=""/>
              <m:endChr m:val=")"/>
              <m:grow/>
            </m:dPr>
            <m:e>
              <m:r>
                <m:t>ϕ</m:t>
              </m:r>
            </m:e>
          </m:d>
        </m:oMath>
      </m:oMathPara>
    </w:p>
    <w:p>
      <w:pPr>
        <w:numPr>
          <w:ilvl w:val="0"/>
          <w:numId w:val="1047"/>
        </w:numPr>
      </w:pPr>
      <w:r>
        <w:rPr>
          <w:b/>
          <w:bCs/>
        </w:rPr>
        <w:t xml:space="preserve">Substitute this result back into the main equation.</w:t>
      </w:r>
    </w:p>
    <w:p>
      <w:pPr>
        <w:pStyle w:val="BodyText"/>
      </w:pPr>
      <m:oMathPara>
        <m:oMathParaPr>
          <m:jc m:val="center"/>
        </m:oMathParaPr>
        <m:oMath>
          <m:r>
            <m:t>Y</m:t>
          </m:r>
          <m:d>
            <m:dPr>
              <m:begChr m:val="("/>
              <m:sepChr m:val=""/>
              <m:endChr m:val=")"/>
              <m:grow/>
            </m:dPr>
            <m:e>
              <m:r>
                <m:t>ϕ</m:t>
              </m:r>
            </m:e>
          </m:d>
          <m:r>
            <m:rPr>
              <m:sty m:val="p"/>
            </m:rPr>
            <m:t>=</m:t>
          </m:r>
          <m:d>
            <m:dPr>
              <m:begChr m:val="["/>
              <m:sepChr m:val=""/>
              <m:endChr m:val="]"/>
              <m:grow/>
            </m:dPr>
            <m:e>
              <m:sSup>
                <m:e>
                  <m:d>
                    <m:dPr>
                      <m:begChr m:val="("/>
                      <m:sepChr m:val=""/>
                      <m:endChr m:val=")"/>
                      <m:grow/>
                    </m:dPr>
                    <m:e>
                      <m:f>
                        <m:fPr>
                          <m:type m:val="bar"/>
                        </m:fPr>
                        <m:num>
                          <m:r>
                            <m:t>1</m:t>
                          </m:r>
                        </m:num>
                        <m:den>
                          <m:r>
                            <m:t>1</m:t>
                          </m:r>
                          <m:r>
                            <m:rPr>
                              <m:sty m:val="p"/>
                            </m:rPr>
                            <m:t>−</m:t>
                          </m:r>
                          <m:r>
                            <m:t>α</m:t>
                          </m:r>
                          <m:d>
                            <m:dPr>
                              <m:begChr m:val="("/>
                              <m:sepChr m:val=""/>
                              <m:endChr m:val=")"/>
                              <m:grow/>
                            </m:dPr>
                            <m:e>
                              <m:r>
                                <m:t>ϕ</m:t>
                              </m:r>
                            </m:e>
                          </m:d>
                        </m:den>
                      </m:f>
                    </m:e>
                  </m:d>
                </m:e>
                <m:sup>
                  <m:r>
                    <m:t>1</m:t>
                  </m:r>
                  <m:r>
                    <m:rPr>
                      <m:sty m:val="p"/>
                    </m:rPr>
                    <m:t>−</m:t>
                  </m:r>
                  <m:r>
                    <m:t>α</m:t>
                  </m:r>
                  <m:d>
                    <m:dPr>
                      <m:begChr m:val="("/>
                      <m:sepChr m:val=""/>
                      <m:endChr m:val=")"/>
                      <m:grow/>
                    </m:dPr>
                    <m:e>
                      <m:r>
                        <m:t>ϕ</m:t>
                      </m:r>
                    </m:e>
                  </m:d>
                </m:sup>
              </m:sSup>
              <m:r>
                <m:rPr>
                  <m:sty m:val="p"/>
                </m:rPr>
                <m:t>⋅</m:t>
              </m:r>
              <m:sSup>
                <m:e>
                  <m:d>
                    <m:dPr>
                      <m:begChr m:val="("/>
                      <m:sepChr m:val=""/>
                      <m:endChr m:val=")"/>
                      <m:grow/>
                    </m:dPr>
                    <m:e>
                      <m:f>
                        <m:fPr>
                          <m:type m:val="bar"/>
                        </m:fPr>
                        <m:num>
                          <m:f>
                            <m:fPr>
                              <m:type m:val="bar"/>
                            </m:fPr>
                            <m:num>
                              <m:r>
                                <m:t>K</m:t>
                              </m:r>
                              <m:d>
                                <m:dPr>
                                  <m:begChr m:val="("/>
                                  <m:sepChr m:val=""/>
                                  <m:endChr m:val=")"/>
                                  <m:grow/>
                                </m:dPr>
                                <m:e>
                                  <m:r>
                                    <m:t>ϕ</m:t>
                                  </m:r>
                                </m:e>
                              </m:d>
                            </m:num>
                            <m:den>
                              <m:r>
                                <m:t>L</m:t>
                              </m:r>
                              <m:d>
                                <m:dPr>
                                  <m:begChr m:val="("/>
                                  <m:sepChr m:val=""/>
                                  <m:endChr m:val=")"/>
                                  <m:grow/>
                                </m:dPr>
                                <m:e>
                                  <m:r>
                                    <m:t>ϕ</m:t>
                                  </m:r>
                                </m:e>
                              </m:d>
                            </m:den>
                          </m:f>
                          <m:r>
                            <m:rPr>
                              <m:sty m:val="p"/>
                            </m:rPr>
                            <m:t>⋅</m:t>
                          </m:r>
                          <m:r>
                            <m:t>η</m:t>
                          </m:r>
                        </m:num>
                        <m:den>
                          <m:r>
                            <m:t>α</m:t>
                          </m:r>
                          <m:d>
                            <m:dPr>
                              <m:begChr m:val="("/>
                              <m:sepChr m:val=""/>
                              <m:endChr m:val=")"/>
                              <m:grow/>
                            </m:dPr>
                            <m:e>
                              <m:r>
                                <m:t>ϕ</m:t>
                              </m:r>
                            </m:e>
                          </m:d>
                        </m:den>
                      </m:f>
                    </m:e>
                  </m:d>
                </m:e>
                <m:sup>
                  <m:r>
                    <m:t>α</m:t>
                  </m:r>
                  <m:d>
                    <m:dPr>
                      <m:begChr m:val="("/>
                      <m:sepChr m:val=""/>
                      <m:endChr m:val=")"/>
                      <m:grow/>
                    </m:dPr>
                    <m:e>
                      <m:r>
                        <m:t>ϕ</m:t>
                      </m:r>
                    </m:e>
                  </m:d>
                </m:sup>
              </m:sSup>
            </m:e>
          </m:d>
          <m:r>
            <m:rPr>
              <m:sty m:val="p"/>
            </m:rPr>
            <m:t>⋅</m:t>
          </m:r>
          <m:r>
            <m:t>L</m:t>
          </m:r>
          <m:d>
            <m:dPr>
              <m:begChr m:val="("/>
              <m:sepChr m:val=""/>
              <m:endChr m:val=")"/>
              <m:grow/>
            </m:dPr>
            <m:e>
              <m:r>
                <m:t>ϕ</m:t>
              </m:r>
            </m:e>
          </m:d>
        </m:oMath>
      </m:oMathPara>
    </w:p>
    <w:p>
      <w:pPr>
        <w:numPr>
          <w:ilvl w:val="0"/>
          <w:numId w:val="1047"/>
        </w:numPr>
      </w:pPr>
      <w:r>
        <w:rPr>
          <w:b/>
          <w:bCs/>
        </w:rPr>
        <w:t xml:space="preserve">Rearrange the terms using algebra to group labor (</w:t>
      </w:r>
      <m:oMath>
        <m:r>
          <m:t>L</m:t>
        </m:r>
        <m:d>
          <m:dPr>
            <m:begChr m:val="("/>
            <m:sepChr m:val=""/>
            <m:endChr m:val=")"/>
            <m:grow/>
          </m:dPr>
          <m:e>
            <m:r>
              <m:t>ϕ</m:t>
            </m:r>
          </m:e>
        </m:d>
      </m:oMath>
      <w:r>
        <w:rPr>
          <w:b/>
          <w:bCs/>
        </w:rPr>
        <w:t xml:space="preserve">) and capital (</w:t>
      </w:r>
      <m:oMath>
        <m:r>
          <m:t>K</m:t>
        </m:r>
        <m:d>
          <m:dPr>
            <m:begChr m:val="("/>
            <m:sepChr m:val=""/>
            <m:endChr m:val=")"/>
            <m:grow/>
          </m:dPr>
          <m:e>
            <m:r>
              <m:t>ϕ</m:t>
            </m:r>
          </m:e>
        </m:d>
      </m:oMath>
      <w:r>
        <w:rPr>
          <w:b/>
          <w:bCs/>
        </w:rPr>
        <w:t xml:space="preserve">) terms.</w:t>
      </w:r>
      <w:r>
        <w:t xml:space="preserve"> </w:t>
      </w:r>
      <w:r>
        <w:t xml:space="preserve">This combines several small algebraic steps for clarity.</w:t>
      </w:r>
    </w:p>
    <w:p>
      <w:pPr>
        <w:pStyle w:val="BodyText"/>
      </w:pPr>
      <m:oMathPara>
        <m:oMathParaPr>
          <m:jc m:val="center"/>
        </m:oMathParaPr>
        <m:oMath>
          <m:r>
            <m:t>Y</m:t>
          </m:r>
          <m:d>
            <m:dPr>
              <m:begChr m:val="("/>
              <m:sepChr m:val=""/>
              <m:endChr m:val=")"/>
              <m:grow/>
            </m:dPr>
            <m:e>
              <m:r>
                <m:t>ϕ</m:t>
              </m:r>
            </m:e>
          </m:d>
          <m:r>
            <m:rPr>
              <m:sty m:val="p"/>
            </m:rPr>
            <m:t>=</m:t>
          </m:r>
          <m:sSup>
            <m:e>
              <m:d>
                <m:dPr>
                  <m:begChr m:val="("/>
                  <m:sepChr m:val=""/>
                  <m:endChr m:val=")"/>
                  <m:grow/>
                </m:dPr>
                <m:e>
                  <m:f>
                    <m:fPr>
                      <m:type m:val="bar"/>
                    </m:fPr>
                    <m:num>
                      <m:r>
                        <m:t>1</m:t>
                      </m:r>
                    </m:num>
                    <m:den>
                      <m:r>
                        <m:t>1</m:t>
                      </m:r>
                      <m:r>
                        <m:rPr>
                          <m:sty m:val="p"/>
                        </m:rPr>
                        <m:t>−</m:t>
                      </m:r>
                      <m:r>
                        <m:t>α</m:t>
                      </m:r>
                      <m:d>
                        <m:dPr>
                          <m:begChr m:val="("/>
                          <m:sepChr m:val=""/>
                          <m:endChr m:val=")"/>
                          <m:grow/>
                        </m:dPr>
                        <m:e>
                          <m:r>
                            <m:t>ϕ</m:t>
                          </m:r>
                        </m:e>
                      </m:d>
                    </m:den>
                  </m:f>
                </m:e>
              </m:d>
            </m:e>
            <m:sup>
              <m:r>
                <m:t>1</m:t>
              </m:r>
              <m:r>
                <m:rPr>
                  <m:sty m:val="p"/>
                </m:rPr>
                <m:t>−</m:t>
              </m:r>
              <m:r>
                <m:t>α</m:t>
              </m:r>
              <m:d>
                <m:dPr>
                  <m:begChr m:val="("/>
                  <m:sepChr m:val=""/>
                  <m:endChr m:val=")"/>
                  <m:grow/>
                </m:dPr>
                <m:e>
                  <m:r>
                    <m:t>ϕ</m:t>
                  </m:r>
                </m:e>
              </m:d>
            </m:sup>
          </m:sSup>
          <m:r>
            <m:rPr>
              <m:sty m:val="p"/>
            </m:rPr>
            <m:t>⋅</m:t>
          </m:r>
          <m:r>
            <m:t>L</m:t>
          </m:r>
          <m:sSup>
            <m:e>
              <m:d>
                <m:dPr>
                  <m:begChr m:val="("/>
                  <m:sepChr m:val=""/>
                  <m:endChr m:val=")"/>
                  <m:grow/>
                </m:dPr>
                <m:e>
                  <m:r>
                    <m:t>ϕ</m:t>
                  </m:r>
                </m:e>
              </m:d>
            </m:e>
            <m:sup>
              <m:r>
                <m:t>1</m:t>
              </m:r>
              <m:r>
                <m:rPr>
                  <m:sty m:val="p"/>
                </m:rPr>
                <m:t>−</m:t>
              </m:r>
              <m:r>
                <m:t>α</m:t>
              </m:r>
              <m:d>
                <m:dPr>
                  <m:begChr m:val="("/>
                  <m:sepChr m:val=""/>
                  <m:endChr m:val=")"/>
                  <m:grow/>
                </m:dPr>
                <m:e>
                  <m:r>
                    <m:t>ϕ</m:t>
                  </m:r>
                </m:e>
              </m:d>
            </m:sup>
          </m:sSup>
          <m:r>
            <m:rPr>
              <m:sty m:val="p"/>
            </m:rPr>
            <m:t>⋅</m:t>
          </m:r>
          <m:f>
            <m:fPr>
              <m:type m:val="bar"/>
            </m:fPr>
            <m:num>
              <m:sSup>
                <m:e>
                  <m:d>
                    <m:dPr>
                      <m:begChr m:val="("/>
                      <m:sepChr m:val=""/>
                      <m:endChr m:val=")"/>
                      <m:grow/>
                    </m:dPr>
                    <m:e>
                      <m:r>
                        <m:t>K</m:t>
                      </m:r>
                      <m:d>
                        <m:dPr>
                          <m:begChr m:val="("/>
                          <m:sepChr m:val=""/>
                          <m:endChr m:val=")"/>
                          <m:grow/>
                        </m:dPr>
                        <m:e>
                          <m:r>
                            <m:t>ϕ</m:t>
                          </m:r>
                        </m:e>
                      </m:d>
                      <m:r>
                        <m:t>η</m:t>
                      </m:r>
                    </m:e>
                  </m:d>
                </m:e>
                <m:sup>
                  <m:r>
                    <m:t>α</m:t>
                  </m:r>
                  <m:d>
                    <m:dPr>
                      <m:begChr m:val="("/>
                      <m:sepChr m:val=""/>
                      <m:endChr m:val=")"/>
                      <m:grow/>
                    </m:dPr>
                    <m:e>
                      <m:r>
                        <m:t>ϕ</m:t>
                      </m:r>
                    </m:e>
                  </m:d>
                </m:sup>
              </m:sSup>
            </m:num>
            <m:den>
              <m:r>
                <m:t>α</m:t>
              </m:r>
              <m:sSup>
                <m:e>
                  <m:d>
                    <m:dPr>
                      <m:begChr m:val="("/>
                      <m:sepChr m:val=""/>
                      <m:endChr m:val=")"/>
                      <m:grow/>
                    </m:dPr>
                    <m:e>
                      <m:r>
                        <m:t>ϕ</m:t>
                      </m:r>
                    </m:e>
                  </m:d>
                </m:e>
                <m:sup>
                  <m:r>
                    <m:t>α</m:t>
                  </m:r>
                  <m:d>
                    <m:dPr>
                      <m:begChr m:val="("/>
                      <m:sepChr m:val=""/>
                      <m:endChr m:val=")"/>
                      <m:grow/>
                    </m:dPr>
                    <m:e>
                      <m:r>
                        <m:t>ϕ</m:t>
                      </m:r>
                    </m:e>
                  </m:d>
                </m:sup>
              </m:sSup>
            </m:den>
          </m:f>
        </m:oMath>
      </m:oMathPara>
    </w:p>
    <w:p>
      <w:pPr>
        <w:numPr>
          <w:ilvl w:val="0"/>
          <w:numId w:val="1047"/>
        </w:numPr>
      </w:pPr>
      <w:r>
        <w:rPr>
          <w:b/>
          <w:bCs/>
        </w:rPr>
        <w:t xml:space="preserve">Combine the terms that share the same exponent to achieve the final form.</w:t>
      </w:r>
    </w:p>
    <w:p>
      <w:pPr>
        <w:pStyle w:val="BodyText"/>
      </w:pPr>
      <m:oMathPara>
        <m:oMathParaPr>
          <m:jc m:val="center"/>
        </m:oMathParaPr>
        <m:oMath>
          <m:r>
            <m:t>Y</m:t>
          </m:r>
          <m:d>
            <m:dPr>
              <m:begChr m:val="("/>
              <m:sepChr m:val=""/>
              <m:endChr m:val=")"/>
              <m:grow/>
            </m:dPr>
            <m:e>
              <m:r>
                <m:t>ϕ</m:t>
              </m:r>
            </m:e>
          </m:d>
          <m:r>
            <m:rPr>
              <m:sty m:val="p"/>
            </m:rPr>
            <m:t>=</m:t>
          </m:r>
          <m:sSup>
            <m:e>
              <m:d>
                <m:dPr>
                  <m:begChr m:val="("/>
                  <m:sepChr m:val=""/>
                  <m:endChr m:val=")"/>
                  <m:grow/>
                </m:dPr>
                <m:e>
                  <m:f>
                    <m:fPr>
                      <m:type m:val="bar"/>
                    </m:fPr>
                    <m:num>
                      <m:r>
                        <m:t>L</m:t>
                      </m:r>
                      <m:d>
                        <m:dPr>
                          <m:begChr m:val="("/>
                          <m:sepChr m:val=""/>
                          <m:endChr m:val=")"/>
                          <m:grow/>
                        </m:dPr>
                        <m:e>
                          <m:r>
                            <m:t>ϕ</m:t>
                          </m:r>
                        </m:e>
                      </m:d>
                    </m:num>
                    <m:den>
                      <m:r>
                        <m:t>1</m:t>
                      </m:r>
                      <m:r>
                        <m:rPr>
                          <m:sty m:val="p"/>
                        </m:rPr>
                        <m:t>−</m:t>
                      </m:r>
                      <m:r>
                        <m:t>α</m:t>
                      </m:r>
                      <m:d>
                        <m:dPr>
                          <m:begChr m:val="("/>
                          <m:sepChr m:val=""/>
                          <m:endChr m:val=")"/>
                          <m:grow/>
                        </m:dPr>
                        <m:e>
                          <m:r>
                            <m:t>ϕ</m:t>
                          </m:r>
                        </m:e>
                      </m:d>
                    </m:den>
                  </m:f>
                </m:e>
              </m:d>
            </m:e>
            <m:sup>
              <m:r>
                <m:t>1</m:t>
              </m:r>
              <m:r>
                <m:rPr>
                  <m:sty m:val="p"/>
                </m:rPr>
                <m:t>−</m:t>
              </m:r>
              <m:r>
                <m:t>α</m:t>
              </m:r>
              <m:d>
                <m:dPr>
                  <m:begChr m:val="("/>
                  <m:sepChr m:val=""/>
                  <m:endChr m:val=")"/>
                  <m:grow/>
                </m:dPr>
                <m:e>
                  <m:r>
                    <m:t>ϕ</m:t>
                  </m:r>
                </m:e>
              </m:d>
            </m:sup>
          </m:sSup>
          <m:r>
            <m:rPr>
              <m:sty m:val="p"/>
            </m:rPr>
            <m:t>⋅</m:t>
          </m:r>
          <m:sSup>
            <m:e>
              <m:d>
                <m:dPr>
                  <m:begChr m:val="("/>
                  <m:sepChr m:val=""/>
                  <m:endChr m:val=")"/>
                  <m:grow/>
                </m:dPr>
                <m:e>
                  <m:f>
                    <m:fPr>
                      <m:type m:val="bar"/>
                    </m:fPr>
                    <m:num>
                      <m:r>
                        <m:t>K</m:t>
                      </m:r>
                      <m:d>
                        <m:dPr>
                          <m:begChr m:val="("/>
                          <m:sepChr m:val=""/>
                          <m:endChr m:val=")"/>
                          <m:grow/>
                        </m:dPr>
                        <m:e>
                          <m:r>
                            <m:t>ϕ</m:t>
                          </m:r>
                        </m:e>
                      </m:d>
                      <m:r>
                        <m:t>η</m:t>
                      </m:r>
                    </m:num>
                    <m:den>
                      <m:r>
                        <m:t>α</m:t>
                      </m:r>
                      <m:d>
                        <m:dPr>
                          <m:begChr m:val="("/>
                          <m:sepChr m:val=""/>
                          <m:endChr m:val=")"/>
                          <m:grow/>
                        </m:dPr>
                        <m:e>
                          <m:r>
                            <m:t>ϕ</m:t>
                          </m:r>
                        </m:e>
                      </m:d>
                    </m:den>
                  </m:f>
                </m:e>
              </m:d>
            </m:e>
            <m:sup>
              <m:r>
                <m:t>α</m:t>
              </m:r>
              <m:d>
                <m:dPr>
                  <m:begChr m:val="("/>
                  <m:sepChr m:val=""/>
                  <m:endChr m:val=")"/>
                  <m:grow/>
                </m:dPr>
                <m:e>
                  <m:r>
                    <m:t>ϕ</m:t>
                  </m:r>
                </m:e>
              </m:d>
            </m:sup>
          </m:sSup>
        </m:oMath>
      </m:oMathPara>
    </w:p>
    <w:p>
      <w:pPr>
        <w:pStyle w:val="FirstParagraph"/>
      </w:pPr>
      <w:r>
        <w:t xml:space="preserve">This derivation continues from the previous result and shows how to rearrange it into the compact Cobb-Douglas form with a Total Factor Productivity (TFP) term,</w:t>
      </w:r>
      <w:r>
        <w:t xml:space="preserve"> </w:t>
      </w:r>
      <w:r>
        <w:rPr>
          <w:rStyle w:val="VerbatimChar"/>
        </w:rPr>
        <w:t xml:space="preserve">A(φ)</w:t>
      </w:r>
      <w:r>
        <w:t xml:space="preserve">.</w:t>
      </w:r>
    </w:p>
    <w:bookmarkEnd w:id="70"/>
    <w:bookmarkStart w:id="71" w:name="starting-point"/>
    <w:p>
      <w:pPr>
        <w:pStyle w:val="Heading4"/>
      </w:pPr>
      <w:r>
        <w:rPr>
          <w:b/>
          <w:bCs/>
        </w:rPr>
        <w:t xml:space="preserve">Starting Point</w:t>
      </w:r>
    </w:p>
    <w:p>
      <w:pPr>
        <w:pStyle w:val="FirstParagraph"/>
      </w:pPr>
      <w:r>
        <w:t xml:space="preserve">From the previous derivation, we established the occupation-level production function as:</w:t>
      </w:r>
    </w:p>
    <w:p>
      <w:pPr>
        <w:pStyle w:val="BodyText"/>
      </w:pPr>
      <m:oMathPara>
        <m:oMathParaPr>
          <m:jc m:val="center"/>
        </m:oMathParaPr>
        <m:oMath>
          <m:r>
            <m:t>Y</m:t>
          </m:r>
          <m:d>
            <m:dPr>
              <m:begChr m:val="("/>
              <m:sepChr m:val=""/>
              <m:endChr m:val=")"/>
              <m:grow/>
            </m:dPr>
            <m:e>
              <m:r>
                <m:t>ϕ</m:t>
              </m:r>
            </m:e>
          </m:d>
          <m:r>
            <m:rPr>
              <m:sty m:val="p"/>
            </m:rPr>
            <m:t>=</m:t>
          </m:r>
          <m:sSup>
            <m:e>
              <m:d>
                <m:dPr>
                  <m:begChr m:val="("/>
                  <m:sepChr m:val=""/>
                  <m:endChr m:val=")"/>
                  <m:grow/>
                </m:dPr>
                <m:e>
                  <m:f>
                    <m:fPr>
                      <m:type m:val="bar"/>
                    </m:fPr>
                    <m:num>
                      <m:r>
                        <m:t>L</m:t>
                      </m:r>
                      <m:d>
                        <m:dPr>
                          <m:begChr m:val="("/>
                          <m:sepChr m:val=""/>
                          <m:endChr m:val=")"/>
                          <m:grow/>
                        </m:dPr>
                        <m:e>
                          <m:r>
                            <m:t>ϕ</m:t>
                          </m:r>
                        </m:e>
                      </m:d>
                    </m:num>
                    <m:den>
                      <m:r>
                        <m:t>1</m:t>
                      </m:r>
                      <m:r>
                        <m:rPr>
                          <m:sty m:val="p"/>
                        </m:rPr>
                        <m:t>−</m:t>
                      </m:r>
                      <m:r>
                        <m:t>α</m:t>
                      </m:r>
                      <m:d>
                        <m:dPr>
                          <m:begChr m:val="("/>
                          <m:sepChr m:val=""/>
                          <m:endChr m:val=")"/>
                          <m:grow/>
                        </m:dPr>
                        <m:e>
                          <m:r>
                            <m:t>ϕ</m:t>
                          </m:r>
                        </m:e>
                      </m:d>
                    </m:den>
                  </m:f>
                </m:e>
              </m:d>
            </m:e>
            <m:sup>
              <m:r>
                <m:t>1</m:t>
              </m:r>
              <m:r>
                <m:rPr>
                  <m:sty m:val="p"/>
                </m:rPr>
                <m:t>−</m:t>
              </m:r>
              <m:r>
                <m:t>α</m:t>
              </m:r>
              <m:d>
                <m:dPr>
                  <m:begChr m:val="("/>
                  <m:sepChr m:val=""/>
                  <m:endChr m:val=")"/>
                  <m:grow/>
                </m:dPr>
                <m:e>
                  <m:r>
                    <m:t>ϕ</m:t>
                  </m:r>
                </m:e>
              </m:d>
            </m:sup>
          </m:sSup>
          <m:r>
            <m:rPr>
              <m:sty m:val="p"/>
            </m:rPr>
            <m:t>⋅</m:t>
          </m:r>
          <m:sSup>
            <m:e>
              <m:d>
                <m:dPr>
                  <m:begChr m:val="("/>
                  <m:sepChr m:val=""/>
                  <m:endChr m:val=")"/>
                  <m:grow/>
                </m:dPr>
                <m:e>
                  <m:f>
                    <m:fPr>
                      <m:type m:val="bar"/>
                    </m:fPr>
                    <m:num>
                      <m:r>
                        <m:t>K</m:t>
                      </m:r>
                      <m:d>
                        <m:dPr>
                          <m:begChr m:val="("/>
                          <m:sepChr m:val=""/>
                          <m:endChr m:val=")"/>
                          <m:grow/>
                        </m:dPr>
                        <m:e>
                          <m:r>
                            <m:t>ϕ</m:t>
                          </m:r>
                        </m:e>
                      </m:d>
                      <m:r>
                        <m:t>η</m:t>
                      </m:r>
                    </m:num>
                    <m:den>
                      <m:r>
                        <m:t>α</m:t>
                      </m:r>
                      <m:d>
                        <m:dPr>
                          <m:begChr m:val="("/>
                          <m:sepChr m:val=""/>
                          <m:endChr m:val=")"/>
                          <m:grow/>
                        </m:dPr>
                        <m:e>
                          <m:r>
                            <m:t>ϕ</m:t>
                          </m:r>
                        </m:e>
                      </m:d>
                    </m:den>
                  </m:f>
                </m:e>
              </m:d>
            </m:e>
            <m:sup>
              <m:r>
                <m:t>α</m:t>
              </m:r>
              <m:d>
                <m:dPr>
                  <m:begChr m:val="("/>
                  <m:sepChr m:val=""/>
                  <m:endChr m:val=")"/>
                  <m:grow/>
                </m:dPr>
                <m:e>
                  <m:r>
                    <m:t>ϕ</m:t>
                  </m:r>
                </m:e>
              </m:d>
            </m:sup>
          </m:sSup>
        </m:oMath>
      </m:oMathPara>
    </w:p>
    <w:bookmarkEnd w:id="71"/>
    <w:bookmarkStart w:id="72" w:name="target-equation"/>
    <w:p>
      <w:pPr>
        <w:pStyle w:val="Heading4"/>
      </w:pPr>
      <w:r>
        <w:rPr>
          <w:b/>
          <w:bCs/>
        </w:rPr>
        <w:t xml:space="preserve">Target Equation</w:t>
      </w:r>
    </w:p>
    <w:p>
      <w:pPr>
        <w:pStyle w:val="FirstParagraph"/>
      </w:pPr>
      <w:r>
        <w:t xml:space="preserve">Our goal is to show that this is equivalent to the standard form:</w:t>
      </w:r>
    </w:p>
    <w:p>
      <w:pPr>
        <w:pStyle w:val="BodyText"/>
      </w:pPr>
      <m:oMathPara>
        <m:oMathParaPr>
          <m:jc m:val="center"/>
        </m:oMathParaPr>
        <m:oMath>
          <m:r>
            <m:t>Y</m:t>
          </m:r>
          <m:d>
            <m:dPr>
              <m:begChr m:val="("/>
              <m:sepChr m:val=""/>
              <m:endChr m:val=")"/>
              <m:grow/>
            </m:dPr>
            <m:e>
              <m:r>
                <m:t>ϕ</m:t>
              </m:r>
            </m:e>
          </m:d>
          <m:r>
            <m:rPr>
              <m:sty m:val="p"/>
            </m:rPr>
            <m:t>=</m:t>
          </m:r>
          <m:r>
            <m:t>A</m:t>
          </m:r>
          <m:d>
            <m:dPr>
              <m:begChr m:val="("/>
              <m:sepChr m:val=""/>
              <m:endChr m:val=")"/>
              <m:grow/>
            </m:dPr>
            <m:e>
              <m:r>
                <m:t>ϕ</m:t>
              </m:r>
            </m:e>
          </m:d>
          <m:r>
            <m:t>L</m:t>
          </m:r>
          <m:sSup>
            <m:e>
              <m:d>
                <m:dPr>
                  <m:begChr m:val="("/>
                  <m:sepChr m:val=""/>
                  <m:endChr m:val=")"/>
                  <m:grow/>
                </m:dPr>
                <m:e>
                  <m:r>
                    <m:t>ϕ</m:t>
                  </m:r>
                </m:e>
              </m:d>
            </m:e>
            <m:sup>
              <m:r>
                <m:t>1</m:t>
              </m:r>
              <m:r>
                <m:rPr>
                  <m:sty m:val="p"/>
                </m:rPr>
                <m:t>−</m:t>
              </m:r>
              <m:r>
                <m:t>α</m:t>
              </m:r>
              <m:d>
                <m:dPr>
                  <m:begChr m:val="("/>
                  <m:sepChr m:val=""/>
                  <m:endChr m:val=")"/>
                  <m:grow/>
                </m:dPr>
                <m:e>
                  <m:r>
                    <m:t>ϕ</m:t>
                  </m:r>
                </m:e>
              </m:d>
            </m:sup>
          </m:sSup>
          <m:r>
            <m:t>K</m:t>
          </m:r>
          <m:sSup>
            <m:e>
              <m:d>
                <m:dPr>
                  <m:begChr m:val="("/>
                  <m:sepChr m:val=""/>
                  <m:endChr m:val=")"/>
                  <m:grow/>
                </m:dPr>
                <m:e>
                  <m:r>
                    <m:t>ϕ</m:t>
                  </m:r>
                </m:e>
              </m:d>
            </m:e>
            <m:sup>
              <m:r>
                <m:t>α</m:t>
              </m:r>
              <m:d>
                <m:dPr>
                  <m:begChr m:val="("/>
                  <m:sepChr m:val=""/>
                  <m:endChr m:val=")"/>
                  <m:grow/>
                </m:dPr>
                <m:e>
                  <m:r>
                    <m:t>ϕ</m:t>
                  </m:r>
                </m:e>
              </m:d>
            </m:sup>
          </m:sSup>
        </m:oMath>
      </m:oMathPara>
    </w:p>
    <w:p>
      <w:pPr>
        <w:pStyle w:val="FirstParagraph"/>
      </w:pPr>
      <w:r>
        <w:t xml:space="preserve">where</w:t>
      </w:r>
      <w:r>
        <w:t xml:space="preserve"> </w:t>
      </w:r>
      <w:r>
        <w:rPr>
          <w:rStyle w:val="VerbatimChar"/>
        </w:rPr>
        <w:t xml:space="preserve">A(φ)</w:t>
      </w:r>
      <w:r>
        <w:t xml:space="preserve"> </w:t>
      </w:r>
      <w:r>
        <w:t xml:space="preserve">is the occupation-specific TFP term.</w:t>
      </w:r>
    </w:p>
    <w:bookmarkEnd w:id="72"/>
    <w:bookmarkStart w:id="84" w:name="step-by-step-algebraic-rearrangement"/>
    <w:p>
      <w:pPr>
        <w:pStyle w:val="Heading4"/>
      </w:pPr>
      <w:r>
        <w:rPr>
          <w:b/>
          <w:bCs/>
        </w:rPr>
        <w:t xml:space="preserve">Step-by-Step Algebraic Rearrangement</w:t>
      </w:r>
    </w:p>
    <w:p>
      <w:pPr>
        <w:numPr>
          <w:ilvl w:val="0"/>
          <w:numId w:val="1048"/>
        </w:numPr>
      </w:pPr>
      <w:r>
        <w:rPr>
          <w:b/>
          <w:bCs/>
        </w:rPr>
        <w:t xml:space="preserve">Distribute the exponents.</w:t>
      </w:r>
      <w:r>
        <w:t xml:space="preserve"> </w:t>
      </w:r>
      <w:r>
        <w:t xml:space="preserve">We apply the exponent on the outside of each parenthesis to both the numerator and the denominator inside, using the rule</w:t>
      </w:r>
      <w:r>
        <w:t xml:space="preserve"> </w:t>
      </w:r>
      <m:oMath>
        <m:sSup>
          <m:e>
            <m:d>
              <m:dPr>
                <m:begChr m:val="("/>
                <m:sepChr m:val=""/>
                <m:endChr m:val=")"/>
                <m:grow/>
              </m:dPr>
              <m:e>
                <m:f>
                  <m:fPr>
                    <m:type m:val="bar"/>
                  </m:fPr>
                  <m:num>
                    <m:r>
                      <m:t>x</m:t>
                    </m:r>
                  </m:num>
                  <m:den>
                    <m:r>
                      <m:t>y</m:t>
                    </m:r>
                  </m:den>
                </m:f>
              </m:e>
            </m:d>
          </m:e>
          <m:sup>
            <m:r>
              <m:t>n</m:t>
            </m:r>
          </m:sup>
        </m:sSup>
        <m:r>
          <m:rPr>
            <m:sty m:val="p"/>
          </m:rPr>
          <m:t>=</m:t>
        </m:r>
        <m:f>
          <m:fPr>
            <m:type m:val="bar"/>
          </m:fPr>
          <m:num>
            <m:sSup>
              <m:e>
                <m:r>
                  <m:t>x</m:t>
                </m:r>
              </m:e>
              <m:sup>
                <m:r>
                  <m:t>n</m:t>
                </m:r>
              </m:sup>
            </m:sSup>
          </m:num>
          <m:den>
            <m:sSup>
              <m:e>
                <m:r>
                  <m:t>y</m:t>
                </m:r>
              </m:e>
              <m:sup>
                <m:r>
                  <m:t>n</m:t>
                </m:r>
              </m:sup>
            </m:sSup>
          </m:den>
        </m:f>
      </m:oMath>
      <w:r>
        <w:t xml:space="preserve">.</w:t>
      </w:r>
    </w:p>
    <w:p>
      <w:pPr>
        <w:pStyle w:val="BodyText"/>
      </w:pPr>
      <m:oMathPara>
        <m:oMathParaPr>
          <m:jc m:val="center"/>
        </m:oMathParaPr>
        <m:oMath>
          <m:r>
            <m:t>Y</m:t>
          </m:r>
          <m:d>
            <m:dPr>
              <m:begChr m:val="("/>
              <m:sepChr m:val=""/>
              <m:endChr m:val=")"/>
              <m:grow/>
            </m:dPr>
            <m:e>
              <m:r>
                <m:t>ϕ</m:t>
              </m:r>
            </m:e>
          </m:d>
          <m:r>
            <m:rPr>
              <m:sty m:val="p"/>
            </m:rPr>
            <m:t>=</m:t>
          </m:r>
          <m:f>
            <m:fPr>
              <m:type m:val="bar"/>
            </m:fPr>
            <m:num>
              <m:r>
                <m:t>L</m:t>
              </m:r>
              <m:sSup>
                <m:e>
                  <m:d>
                    <m:dPr>
                      <m:begChr m:val="("/>
                      <m:sepChr m:val=""/>
                      <m:endChr m:val=")"/>
                      <m:grow/>
                    </m:dPr>
                    <m:e>
                      <m:r>
                        <m:t>ϕ</m:t>
                      </m:r>
                    </m:e>
                  </m:d>
                </m:e>
                <m:sup>
                  <m:r>
                    <m:t>1</m:t>
                  </m:r>
                  <m:r>
                    <m:rPr>
                      <m:sty m:val="p"/>
                    </m:rPr>
                    <m:t>−</m:t>
                  </m:r>
                  <m:r>
                    <m:t>α</m:t>
                  </m:r>
                  <m:d>
                    <m:dPr>
                      <m:begChr m:val="("/>
                      <m:sepChr m:val=""/>
                      <m:endChr m:val=")"/>
                      <m:grow/>
                    </m:dPr>
                    <m:e>
                      <m:r>
                        <m:t>ϕ</m:t>
                      </m:r>
                    </m:e>
                  </m:d>
                </m:sup>
              </m:sSup>
            </m:num>
            <m:den>
              <m:sSup>
                <m:e>
                  <m:d>
                    <m:dPr>
                      <m:begChr m:val="("/>
                      <m:sepChr m:val=""/>
                      <m:endChr m:val=")"/>
                      <m:grow/>
                    </m:dPr>
                    <m:e>
                      <m:r>
                        <m:t>1</m:t>
                      </m:r>
                      <m:r>
                        <m:rPr>
                          <m:sty m:val="p"/>
                        </m:rPr>
                        <m:t>−</m:t>
                      </m:r>
                      <m:r>
                        <m:t>α</m:t>
                      </m:r>
                      <m:d>
                        <m:dPr>
                          <m:begChr m:val="("/>
                          <m:sepChr m:val=""/>
                          <m:endChr m:val=")"/>
                          <m:grow/>
                        </m:dPr>
                        <m:e>
                          <m:r>
                            <m:t>ϕ</m:t>
                          </m:r>
                        </m:e>
                      </m:d>
                    </m:e>
                  </m:d>
                </m:e>
                <m:sup>
                  <m:r>
                    <m:t>1</m:t>
                  </m:r>
                  <m:r>
                    <m:rPr>
                      <m:sty m:val="p"/>
                    </m:rPr>
                    <m:t>−</m:t>
                  </m:r>
                  <m:r>
                    <m:t>α</m:t>
                  </m:r>
                  <m:d>
                    <m:dPr>
                      <m:begChr m:val="("/>
                      <m:sepChr m:val=""/>
                      <m:endChr m:val=")"/>
                      <m:grow/>
                    </m:dPr>
                    <m:e>
                      <m:r>
                        <m:t>ϕ</m:t>
                      </m:r>
                    </m:e>
                  </m:d>
                </m:sup>
              </m:sSup>
            </m:den>
          </m:f>
          <m:r>
            <m:rPr>
              <m:sty m:val="p"/>
            </m:rPr>
            <m:t>⋅</m:t>
          </m:r>
          <m:f>
            <m:fPr>
              <m:type m:val="bar"/>
            </m:fPr>
            <m:num>
              <m:sSup>
                <m:e>
                  <m:d>
                    <m:dPr>
                      <m:begChr m:val="("/>
                      <m:sepChr m:val=""/>
                      <m:endChr m:val=")"/>
                      <m:grow/>
                    </m:dPr>
                    <m:e>
                      <m:r>
                        <m:t>K</m:t>
                      </m:r>
                      <m:d>
                        <m:dPr>
                          <m:begChr m:val="("/>
                          <m:sepChr m:val=""/>
                          <m:endChr m:val=")"/>
                          <m:grow/>
                        </m:dPr>
                        <m:e>
                          <m:r>
                            <m:t>ϕ</m:t>
                          </m:r>
                        </m:e>
                      </m:d>
                      <m:r>
                        <m:t>η</m:t>
                      </m:r>
                    </m:e>
                  </m:d>
                </m:e>
                <m:sup>
                  <m:r>
                    <m:t>α</m:t>
                  </m:r>
                  <m:d>
                    <m:dPr>
                      <m:begChr m:val="("/>
                      <m:sepChr m:val=""/>
                      <m:endChr m:val=")"/>
                      <m:grow/>
                    </m:dPr>
                    <m:e>
                      <m:r>
                        <m:t>ϕ</m:t>
                      </m:r>
                    </m:e>
                  </m:d>
                </m:sup>
              </m:sSup>
            </m:num>
            <m:den>
              <m:r>
                <m:t>α</m:t>
              </m:r>
              <m:sSup>
                <m:e>
                  <m:d>
                    <m:dPr>
                      <m:begChr m:val="("/>
                      <m:sepChr m:val=""/>
                      <m:endChr m:val=")"/>
                      <m:grow/>
                    </m:dPr>
                    <m:e>
                      <m:r>
                        <m:t>ϕ</m:t>
                      </m:r>
                    </m:e>
                  </m:d>
                </m:e>
                <m:sup>
                  <m:r>
                    <m:t>α</m:t>
                  </m:r>
                  <m:d>
                    <m:dPr>
                      <m:begChr m:val="("/>
                      <m:sepChr m:val=""/>
                      <m:endChr m:val=")"/>
                      <m:grow/>
                    </m:dPr>
                    <m:e>
                      <m:r>
                        <m:t>ϕ</m:t>
                      </m:r>
                    </m:e>
                  </m:d>
                </m:sup>
              </m:sSup>
            </m:den>
          </m:f>
        </m:oMath>
      </m:oMathPara>
    </w:p>
    <w:p>
      <w:pPr>
        <w:numPr>
          <w:ilvl w:val="0"/>
          <w:numId w:val="1048"/>
        </w:numPr>
      </w:pPr>
      <w:r>
        <w:rPr>
          <w:b/>
          <w:bCs/>
        </w:rPr>
        <w:t xml:space="preserve">Separate the input factors</w:t>
      </w:r>
      <w:r>
        <w:rPr>
          <w:b/>
          <w:bCs/>
        </w:rPr>
        <w:t xml:space="preserve"> </w:t>
      </w:r>
      <w:r>
        <w:rPr>
          <w:rStyle w:val="VerbatimChar"/>
          <w:b/>
          <w:bCs/>
        </w:rPr>
        <w:t xml:space="preserve">L(φ)</w:t>
      </w:r>
      <w:r>
        <w:rPr>
          <w:b/>
          <w:bCs/>
        </w:rPr>
        <w:t xml:space="preserve"> </w:t>
      </w:r>
      <w:r>
        <w:rPr>
          <w:b/>
          <w:bCs/>
        </w:rPr>
        <w:t xml:space="preserve">and</w:t>
      </w:r>
      <w:r>
        <w:rPr>
          <w:b/>
          <w:bCs/>
        </w:rPr>
        <w:t xml:space="preserve"> </w:t>
      </w:r>
      <w:r>
        <w:rPr>
          <w:rStyle w:val="VerbatimChar"/>
          <w:b/>
          <w:bCs/>
        </w:rPr>
        <w:t xml:space="preserve">K(φ)</w:t>
      </w:r>
      <w:r>
        <w:rPr>
          <w:b/>
          <w:bCs/>
        </w:rPr>
        <w:t xml:space="preserve">.</w:t>
      </w:r>
      <w:r>
        <w:t xml:space="preserve"> </w:t>
      </w:r>
      <w:r>
        <w:t xml:space="preserve">In the second term, we can expand</w:t>
      </w:r>
      <w:r>
        <w:t xml:space="preserve"> </w:t>
      </w:r>
      <m:oMath>
        <m:sSup>
          <m:e>
            <m:d>
              <m:dPr>
                <m:begChr m:val="("/>
                <m:sepChr m:val=""/>
                <m:endChr m:val=")"/>
                <m:grow/>
              </m:dPr>
              <m:e>
                <m:r>
                  <m:t>K</m:t>
                </m:r>
                <m:d>
                  <m:dPr>
                    <m:begChr m:val="("/>
                    <m:sepChr m:val=""/>
                    <m:endChr m:val=")"/>
                    <m:grow/>
                  </m:dPr>
                  <m:e>
                    <m:r>
                      <m:t>ϕ</m:t>
                    </m:r>
                  </m:e>
                </m:d>
                <m:r>
                  <m:t>η</m:t>
                </m:r>
              </m:e>
            </m:d>
          </m:e>
          <m:sup>
            <m:r>
              <m:t>α</m:t>
            </m:r>
            <m:d>
              <m:dPr>
                <m:begChr m:val="("/>
                <m:sepChr m:val=""/>
                <m:endChr m:val=")"/>
                <m:grow/>
              </m:dPr>
              <m:e>
                <m:r>
                  <m:t>ϕ</m:t>
                </m:r>
              </m:e>
            </m:d>
          </m:sup>
        </m:sSup>
      </m:oMath>
      <w:r>
        <w:t xml:space="preserve"> </w:t>
      </w:r>
      <w:r>
        <w:t xml:space="preserve">to</w:t>
      </w:r>
      <w:r>
        <w:t xml:space="preserve"> </w:t>
      </w:r>
      <m:oMath>
        <m:r>
          <m:t>K</m:t>
        </m:r>
        <m:sSup>
          <m:e>
            <m:d>
              <m:dPr>
                <m:begChr m:val="("/>
                <m:sepChr m:val=""/>
                <m:endChr m:val=")"/>
                <m:grow/>
              </m:dPr>
              <m:e>
                <m:r>
                  <m:t>ϕ</m:t>
                </m:r>
              </m:e>
            </m:d>
          </m:e>
          <m:sup>
            <m:r>
              <m:t>α</m:t>
            </m:r>
            <m:d>
              <m:dPr>
                <m:begChr m:val="("/>
                <m:sepChr m:val=""/>
                <m:endChr m:val=")"/>
                <m:grow/>
              </m:dPr>
              <m:e>
                <m:r>
                  <m:t>ϕ</m:t>
                </m:r>
              </m:e>
            </m:d>
          </m:sup>
        </m:sSup>
        <m:r>
          <m:rPr>
            <m:sty m:val="p"/>
          </m:rPr>
          <m:t>⋅</m:t>
        </m:r>
        <m:sSup>
          <m:e>
            <m:r>
              <m:t>η</m:t>
            </m:r>
          </m:e>
          <m:sup>
            <m:r>
              <m:t>α</m:t>
            </m:r>
            <m:d>
              <m:dPr>
                <m:begChr m:val="("/>
                <m:sepChr m:val=""/>
                <m:endChr m:val=")"/>
                <m:grow/>
              </m:dPr>
              <m:e>
                <m:r>
                  <m:t>ϕ</m:t>
                </m:r>
              </m:e>
            </m:d>
          </m:sup>
        </m:sSup>
      </m:oMath>
      <w:r>
        <w:t xml:space="preserve">.</w:t>
      </w:r>
    </w:p>
    <w:p>
      <w:pPr>
        <w:pStyle w:val="BodyText"/>
      </w:pPr>
      <m:oMathPara>
        <m:oMathParaPr>
          <m:jc m:val="center"/>
        </m:oMathParaPr>
        <m:oMath>
          <m:r>
            <m:t>Y</m:t>
          </m:r>
          <m:d>
            <m:dPr>
              <m:begChr m:val="("/>
              <m:sepChr m:val=""/>
              <m:endChr m:val=")"/>
              <m:grow/>
            </m:dPr>
            <m:e>
              <m:r>
                <m:t>ϕ</m:t>
              </m:r>
            </m:e>
          </m:d>
          <m:r>
            <m:rPr>
              <m:sty m:val="p"/>
            </m:rPr>
            <m:t>=</m:t>
          </m:r>
          <m:f>
            <m:fPr>
              <m:type m:val="bar"/>
            </m:fPr>
            <m:num>
              <m:r>
                <m:t>L</m:t>
              </m:r>
              <m:sSup>
                <m:e>
                  <m:d>
                    <m:dPr>
                      <m:begChr m:val="("/>
                      <m:sepChr m:val=""/>
                      <m:endChr m:val=")"/>
                      <m:grow/>
                    </m:dPr>
                    <m:e>
                      <m:r>
                        <m:t>ϕ</m:t>
                      </m:r>
                    </m:e>
                  </m:d>
                </m:e>
                <m:sup>
                  <m:r>
                    <m:t>1</m:t>
                  </m:r>
                  <m:r>
                    <m:rPr>
                      <m:sty m:val="p"/>
                    </m:rPr>
                    <m:t>−</m:t>
                  </m:r>
                  <m:r>
                    <m:t>α</m:t>
                  </m:r>
                  <m:d>
                    <m:dPr>
                      <m:begChr m:val="("/>
                      <m:sepChr m:val=""/>
                      <m:endChr m:val=")"/>
                      <m:grow/>
                    </m:dPr>
                    <m:e>
                      <m:r>
                        <m:t>ϕ</m:t>
                      </m:r>
                    </m:e>
                  </m:d>
                </m:sup>
              </m:sSup>
            </m:num>
            <m:den>
              <m:sSup>
                <m:e>
                  <m:d>
                    <m:dPr>
                      <m:begChr m:val="("/>
                      <m:sepChr m:val=""/>
                      <m:endChr m:val=")"/>
                      <m:grow/>
                    </m:dPr>
                    <m:e>
                      <m:r>
                        <m:t>1</m:t>
                      </m:r>
                      <m:r>
                        <m:rPr>
                          <m:sty m:val="p"/>
                        </m:rPr>
                        <m:t>−</m:t>
                      </m:r>
                      <m:r>
                        <m:t>α</m:t>
                      </m:r>
                      <m:d>
                        <m:dPr>
                          <m:begChr m:val="("/>
                          <m:sepChr m:val=""/>
                          <m:endChr m:val=")"/>
                          <m:grow/>
                        </m:dPr>
                        <m:e>
                          <m:r>
                            <m:t>ϕ</m:t>
                          </m:r>
                        </m:e>
                      </m:d>
                    </m:e>
                  </m:d>
                </m:e>
                <m:sup>
                  <m:r>
                    <m:t>1</m:t>
                  </m:r>
                  <m:r>
                    <m:rPr>
                      <m:sty m:val="p"/>
                    </m:rPr>
                    <m:t>−</m:t>
                  </m:r>
                  <m:r>
                    <m:t>α</m:t>
                  </m:r>
                  <m:d>
                    <m:dPr>
                      <m:begChr m:val="("/>
                      <m:sepChr m:val=""/>
                      <m:endChr m:val=")"/>
                      <m:grow/>
                    </m:dPr>
                    <m:e>
                      <m:r>
                        <m:t>ϕ</m:t>
                      </m:r>
                    </m:e>
                  </m:d>
                </m:sup>
              </m:sSup>
            </m:den>
          </m:f>
          <m:r>
            <m:rPr>
              <m:sty m:val="p"/>
            </m:rPr>
            <m:t>⋅</m:t>
          </m:r>
          <m:f>
            <m:fPr>
              <m:type m:val="bar"/>
            </m:fPr>
            <m:num>
              <m:r>
                <m:t>K</m:t>
              </m:r>
              <m:sSup>
                <m:e>
                  <m:d>
                    <m:dPr>
                      <m:begChr m:val="("/>
                      <m:sepChr m:val=""/>
                      <m:endChr m:val=")"/>
                      <m:grow/>
                    </m:dPr>
                    <m:e>
                      <m:r>
                        <m:t>ϕ</m:t>
                      </m:r>
                    </m:e>
                  </m:d>
                </m:e>
                <m:sup>
                  <m:r>
                    <m:t>α</m:t>
                  </m:r>
                  <m:d>
                    <m:dPr>
                      <m:begChr m:val="("/>
                      <m:sepChr m:val=""/>
                      <m:endChr m:val=")"/>
                      <m:grow/>
                    </m:dPr>
                    <m:e>
                      <m:r>
                        <m:t>ϕ</m:t>
                      </m:r>
                    </m:e>
                  </m:d>
                </m:sup>
              </m:sSup>
              <m:sSup>
                <m:e>
                  <m:r>
                    <m:t>η</m:t>
                  </m:r>
                </m:e>
                <m:sup>
                  <m:r>
                    <m:t>α</m:t>
                  </m:r>
                  <m:d>
                    <m:dPr>
                      <m:begChr m:val="("/>
                      <m:sepChr m:val=""/>
                      <m:endChr m:val=")"/>
                      <m:grow/>
                    </m:dPr>
                    <m:e>
                      <m:r>
                        <m:t>ϕ</m:t>
                      </m:r>
                    </m:e>
                  </m:d>
                </m:sup>
              </m:sSup>
            </m:num>
            <m:den>
              <m:r>
                <m:t>α</m:t>
              </m:r>
              <m:sSup>
                <m:e>
                  <m:d>
                    <m:dPr>
                      <m:begChr m:val="("/>
                      <m:sepChr m:val=""/>
                      <m:endChr m:val=")"/>
                      <m:grow/>
                    </m:dPr>
                    <m:e>
                      <m:r>
                        <m:t>ϕ</m:t>
                      </m:r>
                    </m:e>
                  </m:d>
                </m:e>
                <m:sup>
                  <m:r>
                    <m:t>α</m:t>
                  </m:r>
                  <m:d>
                    <m:dPr>
                      <m:begChr m:val="("/>
                      <m:sepChr m:val=""/>
                      <m:endChr m:val=")"/>
                      <m:grow/>
                    </m:dPr>
                    <m:e>
                      <m:r>
                        <m:t>ϕ</m:t>
                      </m:r>
                    </m:e>
                  </m:d>
                </m:sup>
              </m:sSup>
            </m:den>
          </m:f>
        </m:oMath>
      </m:oMathPara>
    </w:p>
    <w:p>
      <w:pPr>
        <w:numPr>
          <w:ilvl w:val="0"/>
          <w:numId w:val="1048"/>
        </w:numPr>
      </w:pPr>
      <w:r>
        <w:rPr>
          <w:b/>
          <w:bCs/>
        </w:rPr>
        <w:t xml:space="preserve">Group the non-input terms together.</w:t>
      </w:r>
      <w:r>
        <w:t xml:space="preserve"> </w:t>
      </w:r>
      <w:r>
        <w:t xml:space="preserve">Let’s rearrange the equation to group all terms that are</w:t>
      </w:r>
      <w:r>
        <w:t xml:space="preserve"> </w:t>
      </w:r>
      <w:r>
        <w:rPr>
          <w:i/>
          <w:iCs/>
        </w:rPr>
        <w:t xml:space="preserve">not</w:t>
      </w:r>
      <w:r>
        <w:t xml:space="preserve"> </w:t>
      </w:r>
      <m:oMath>
        <m:r>
          <m:t>L</m:t>
        </m:r>
        <m:d>
          <m:dPr>
            <m:begChr m:val="("/>
            <m:sepChr m:val=""/>
            <m:endChr m:val=")"/>
            <m:grow/>
          </m:dPr>
          <m:e>
            <m:r>
              <m:t>ϕ</m:t>
            </m:r>
          </m:e>
        </m:d>
      </m:oMath>
      <w:r>
        <w:t xml:space="preserve"> </w:t>
      </w:r>
      <w:r>
        <w:t xml:space="preserve">or</w:t>
      </w:r>
      <w:r>
        <w:t xml:space="preserve"> </w:t>
      </w:r>
      <m:oMath>
        <m:r>
          <m:t>K</m:t>
        </m:r>
        <m:d>
          <m:dPr>
            <m:begChr m:val="("/>
            <m:sepChr m:val=""/>
            <m:endChr m:val=")"/>
            <m:grow/>
          </m:dPr>
          <m:e>
            <m:r>
              <m:t>ϕ</m:t>
            </m:r>
          </m:e>
        </m:d>
      </m:oMath>
      <w:r>
        <w:t xml:space="preserve"> </w:t>
      </w:r>
      <w:r>
        <w:t xml:space="preserve">at the beginning. These terms constitute the productivity parameter.</w:t>
      </w:r>
    </w:p>
    <w:p>
      <w:pPr>
        <w:pStyle w:val="BodyText"/>
      </w:pPr>
      <m:oMathPara>
        <m:oMathParaPr>
          <m:jc m:val="center"/>
        </m:oMathParaPr>
        <m:oMath>
          <m:r>
            <m:t>Y</m:t>
          </m:r>
          <m:d>
            <m:dPr>
              <m:begChr m:val="("/>
              <m:sepChr m:val=""/>
              <m:endChr m:val=")"/>
              <m:grow/>
            </m:dPr>
            <m:e>
              <m:r>
                <m:t>ϕ</m:t>
              </m:r>
            </m:e>
          </m:d>
          <m:r>
            <m:rPr>
              <m:sty m:val="p"/>
            </m:rPr>
            <m:t>=</m:t>
          </m:r>
          <m:d>
            <m:dPr>
              <m:begChr m:val="["/>
              <m:sepChr m:val=""/>
              <m:endChr m:val="]"/>
              <m:grow/>
            </m:dPr>
            <m:e>
              <m:f>
                <m:fPr>
                  <m:type m:val="bar"/>
                </m:fPr>
                <m:num>
                  <m:r>
                    <m:t>1</m:t>
                  </m:r>
                </m:num>
                <m:den>
                  <m:sSup>
                    <m:e>
                      <m:d>
                        <m:dPr>
                          <m:begChr m:val="("/>
                          <m:sepChr m:val=""/>
                          <m:endChr m:val=")"/>
                          <m:grow/>
                        </m:dPr>
                        <m:e>
                          <m:r>
                            <m:t>1</m:t>
                          </m:r>
                          <m:r>
                            <m:rPr>
                              <m:sty m:val="p"/>
                            </m:rPr>
                            <m:t>−</m:t>
                          </m:r>
                          <m:r>
                            <m:t>α</m:t>
                          </m:r>
                          <m:d>
                            <m:dPr>
                              <m:begChr m:val="("/>
                              <m:sepChr m:val=""/>
                              <m:endChr m:val=")"/>
                              <m:grow/>
                            </m:dPr>
                            <m:e>
                              <m:r>
                                <m:t>ϕ</m:t>
                              </m:r>
                            </m:e>
                          </m:d>
                        </m:e>
                      </m:d>
                    </m:e>
                    <m:sup>
                      <m:r>
                        <m:t>1</m:t>
                      </m:r>
                      <m:r>
                        <m:rPr>
                          <m:sty m:val="p"/>
                        </m:rPr>
                        <m:t>−</m:t>
                      </m:r>
                      <m:r>
                        <m:t>α</m:t>
                      </m:r>
                      <m:d>
                        <m:dPr>
                          <m:begChr m:val="("/>
                          <m:sepChr m:val=""/>
                          <m:endChr m:val=")"/>
                          <m:grow/>
                        </m:dPr>
                        <m:e>
                          <m:r>
                            <m:t>ϕ</m:t>
                          </m:r>
                        </m:e>
                      </m:d>
                    </m:sup>
                  </m:sSup>
                </m:den>
              </m:f>
              <m:r>
                <m:rPr>
                  <m:sty m:val="p"/>
                </m:rPr>
                <m:t>⋅</m:t>
              </m:r>
              <m:f>
                <m:fPr>
                  <m:type m:val="bar"/>
                </m:fPr>
                <m:num>
                  <m:sSup>
                    <m:e>
                      <m:r>
                        <m:t>η</m:t>
                      </m:r>
                    </m:e>
                    <m:sup>
                      <m:r>
                        <m:t>α</m:t>
                      </m:r>
                      <m:d>
                        <m:dPr>
                          <m:begChr m:val="("/>
                          <m:sepChr m:val=""/>
                          <m:endChr m:val=")"/>
                          <m:grow/>
                        </m:dPr>
                        <m:e>
                          <m:r>
                            <m:t>ϕ</m:t>
                          </m:r>
                        </m:e>
                      </m:d>
                    </m:sup>
                  </m:sSup>
                </m:num>
                <m:den>
                  <m:r>
                    <m:t>α</m:t>
                  </m:r>
                  <m:sSup>
                    <m:e>
                      <m:d>
                        <m:dPr>
                          <m:begChr m:val="("/>
                          <m:sepChr m:val=""/>
                          <m:endChr m:val=")"/>
                          <m:grow/>
                        </m:dPr>
                        <m:e>
                          <m:r>
                            <m:t>ϕ</m:t>
                          </m:r>
                        </m:e>
                      </m:d>
                    </m:e>
                    <m:sup>
                      <m:r>
                        <m:t>α</m:t>
                      </m:r>
                      <m:d>
                        <m:dPr>
                          <m:begChr m:val="("/>
                          <m:sepChr m:val=""/>
                          <m:endChr m:val=")"/>
                          <m:grow/>
                        </m:dPr>
                        <m:e>
                          <m:r>
                            <m:t>ϕ</m:t>
                          </m:r>
                        </m:e>
                      </m:d>
                    </m:sup>
                  </m:sSup>
                </m:den>
              </m:f>
            </m:e>
          </m:d>
          <m:r>
            <m:rPr>
              <m:sty m:val="p"/>
            </m:rPr>
            <m:t>⋅</m:t>
          </m:r>
          <m:r>
            <m:t>L</m:t>
          </m:r>
          <m:sSup>
            <m:e>
              <m:d>
                <m:dPr>
                  <m:begChr m:val="("/>
                  <m:sepChr m:val=""/>
                  <m:endChr m:val=")"/>
                  <m:grow/>
                </m:dPr>
                <m:e>
                  <m:r>
                    <m:t>ϕ</m:t>
                  </m:r>
                </m:e>
              </m:d>
            </m:e>
            <m:sup>
              <m:r>
                <m:t>1</m:t>
              </m:r>
              <m:r>
                <m:rPr>
                  <m:sty m:val="p"/>
                </m:rPr>
                <m:t>−</m:t>
              </m:r>
              <m:r>
                <m:t>α</m:t>
              </m:r>
              <m:d>
                <m:dPr>
                  <m:begChr m:val="("/>
                  <m:sepChr m:val=""/>
                  <m:endChr m:val=")"/>
                  <m:grow/>
                </m:dPr>
                <m:e>
                  <m:r>
                    <m:t>ϕ</m:t>
                  </m:r>
                </m:e>
              </m:d>
            </m:sup>
          </m:sSup>
          <m:r>
            <m:t>K</m:t>
          </m:r>
          <m:sSup>
            <m:e>
              <m:d>
                <m:dPr>
                  <m:begChr m:val="("/>
                  <m:sepChr m:val=""/>
                  <m:endChr m:val=")"/>
                  <m:grow/>
                </m:dPr>
                <m:e>
                  <m:r>
                    <m:t>ϕ</m:t>
                  </m:r>
                </m:e>
              </m:d>
            </m:e>
            <m:sup>
              <m:r>
                <m:t>α</m:t>
              </m:r>
              <m:d>
                <m:dPr>
                  <m:begChr m:val="("/>
                  <m:sepChr m:val=""/>
                  <m:endChr m:val=")"/>
                  <m:grow/>
                </m:dPr>
                <m:e>
                  <m:r>
                    <m:t>ϕ</m:t>
                  </m:r>
                </m:e>
              </m:d>
            </m:sup>
          </m:sSup>
        </m:oMath>
      </m:oMathPara>
    </w:p>
    <w:p>
      <w:pPr>
        <w:numPr>
          <w:ilvl w:val="0"/>
          <w:numId w:val="1048"/>
        </w:numPr>
      </w:pPr>
      <w:r>
        <w:rPr>
          <w:b/>
          <w:bCs/>
        </w:rPr>
        <w:t xml:space="preserve">Re-combine the grouped terms to match the paper’s definition of A(φ).</w:t>
      </w:r>
      <w:r>
        <w:t xml:space="preserve"> </w:t>
      </w:r>
      <w:r>
        <w:t xml:space="preserve">The term in the brackets can be written more cleanly by grouping the bases that share the same exponent. This makes the structure clearer.</w:t>
      </w:r>
    </w:p>
    <w:p>
      <w:pPr>
        <w:pStyle w:val="BodyText"/>
      </w:pPr>
      <m:oMathPara>
        <m:oMathParaPr>
          <m:jc m:val="center"/>
        </m:oMathParaPr>
        <m:oMath>
          <m:r>
            <m:t>Y</m:t>
          </m:r>
          <m:d>
            <m:dPr>
              <m:begChr m:val="("/>
              <m:sepChr m:val=""/>
              <m:endChr m:val=")"/>
              <m:grow/>
            </m:dPr>
            <m:e>
              <m:r>
                <m:t>ϕ</m:t>
              </m:r>
            </m:e>
          </m:d>
          <m:r>
            <m:rPr>
              <m:sty m:val="p"/>
            </m:rPr>
            <m:t>=</m:t>
          </m:r>
          <m:d>
            <m:dPr>
              <m:begChr m:val="["/>
              <m:sepChr m:val=""/>
              <m:endChr m:val="]"/>
              <m:grow/>
            </m:dPr>
            <m:e>
              <m:sSup>
                <m:e>
                  <m:d>
                    <m:dPr>
                      <m:begChr m:val="("/>
                      <m:sepChr m:val=""/>
                      <m:endChr m:val=")"/>
                      <m:grow/>
                    </m:dPr>
                    <m:e>
                      <m:f>
                        <m:fPr>
                          <m:type m:val="bar"/>
                        </m:fPr>
                        <m:num>
                          <m:r>
                            <m:t>1</m:t>
                          </m:r>
                        </m:num>
                        <m:den>
                          <m:r>
                            <m:t>1</m:t>
                          </m:r>
                          <m:r>
                            <m:rPr>
                              <m:sty m:val="p"/>
                            </m:rPr>
                            <m:t>−</m:t>
                          </m:r>
                          <m:r>
                            <m:t>α</m:t>
                          </m:r>
                          <m:d>
                            <m:dPr>
                              <m:begChr m:val="("/>
                              <m:sepChr m:val=""/>
                              <m:endChr m:val=")"/>
                              <m:grow/>
                            </m:dPr>
                            <m:e>
                              <m:r>
                                <m:t>ϕ</m:t>
                              </m:r>
                            </m:e>
                          </m:d>
                        </m:den>
                      </m:f>
                    </m:e>
                  </m:d>
                </m:e>
                <m:sup>
                  <m:r>
                    <m:t>1</m:t>
                  </m:r>
                  <m:r>
                    <m:rPr>
                      <m:sty m:val="p"/>
                    </m:rPr>
                    <m:t>−</m:t>
                  </m:r>
                  <m:r>
                    <m:t>α</m:t>
                  </m:r>
                  <m:d>
                    <m:dPr>
                      <m:begChr m:val="("/>
                      <m:sepChr m:val=""/>
                      <m:endChr m:val=")"/>
                      <m:grow/>
                    </m:dPr>
                    <m:e>
                      <m:r>
                        <m:t>ϕ</m:t>
                      </m:r>
                    </m:e>
                  </m:d>
                </m:sup>
              </m:sSup>
              <m:r>
                <m:rPr>
                  <m:sty m:val="p"/>
                </m:rPr>
                <m:t>⋅</m:t>
              </m:r>
              <m:sSup>
                <m:e>
                  <m:d>
                    <m:dPr>
                      <m:begChr m:val="("/>
                      <m:sepChr m:val=""/>
                      <m:endChr m:val=")"/>
                      <m:grow/>
                    </m:dPr>
                    <m:e>
                      <m:f>
                        <m:fPr>
                          <m:type m:val="bar"/>
                        </m:fPr>
                        <m:num>
                          <m:r>
                            <m:t>η</m:t>
                          </m:r>
                        </m:num>
                        <m:den>
                          <m:r>
                            <m:t>α</m:t>
                          </m:r>
                          <m:d>
                            <m:dPr>
                              <m:begChr m:val="("/>
                              <m:sepChr m:val=""/>
                              <m:endChr m:val=")"/>
                              <m:grow/>
                            </m:dPr>
                            <m:e>
                              <m:r>
                                <m:t>ϕ</m:t>
                              </m:r>
                            </m:e>
                          </m:d>
                        </m:den>
                      </m:f>
                    </m:e>
                  </m:d>
                </m:e>
                <m:sup>
                  <m:r>
                    <m:t>α</m:t>
                  </m:r>
                  <m:d>
                    <m:dPr>
                      <m:begChr m:val="("/>
                      <m:sepChr m:val=""/>
                      <m:endChr m:val=")"/>
                      <m:grow/>
                    </m:dPr>
                    <m:e>
                      <m:r>
                        <m:t>ϕ</m:t>
                      </m:r>
                    </m:e>
                  </m:d>
                </m:sup>
              </m:sSup>
            </m:e>
          </m:d>
          <m:r>
            <m:rPr>
              <m:sty m:val="p"/>
            </m:rPr>
            <m:t>⋅</m:t>
          </m:r>
          <m:r>
            <m:t>L</m:t>
          </m:r>
          <m:sSup>
            <m:e>
              <m:d>
                <m:dPr>
                  <m:begChr m:val="("/>
                  <m:sepChr m:val=""/>
                  <m:endChr m:val=")"/>
                  <m:grow/>
                </m:dPr>
                <m:e>
                  <m:r>
                    <m:t>ϕ</m:t>
                  </m:r>
                </m:e>
              </m:d>
            </m:e>
            <m:sup>
              <m:r>
                <m:t>1</m:t>
              </m:r>
              <m:r>
                <m:rPr>
                  <m:sty m:val="p"/>
                </m:rPr>
                <m:t>−</m:t>
              </m:r>
              <m:r>
                <m:t>α</m:t>
              </m:r>
              <m:d>
                <m:dPr>
                  <m:begChr m:val="("/>
                  <m:sepChr m:val=""/>
                  <m:endChr m:val=")"/>
                  <m:grow/>
                </m:dPr>
                <m:e>
                  <m:r>
                    <m:t>ϕ</m:t>
                  </m:r>
                </m:e>
              </m:d>
            </m:sup>
          </m:sSup>
          <m:r>
            <m:t>K</m:t>
          </m:r>
          <m:sSup>
            <m:e>
              <m:d>
                <m:dPr>
                  <m:begChr m:val="("/>
                  <m:sepChr m:val=""/>
                  <m:endChr m:val=")"/>
                  <m:grow/>
                </m:dPr>
                <m:e>
                  <m:r>
                    <m:t>ϕ</m:t>
                  </m:r>
                </m:e>
              </m:d>
            </m:e>
            <m:sup>
              <m:r>
                <m:t>α</m:t>
              </m:r>
              <m:d>
                <m:dPr>
                  <m:begChr m:val="("/>
                  <m:sepChr m:val=""/>
                  <m:endChr m:val=")"/>
                  <m:grow/>
                </m:dPr>
                <m:e>
                  <m:r>
                    <m:t>ϕ</m:t>
                  </m:r>
                </m:e>
              </m:d>
            </m:sup>
          </m:sSup>
        </m:oMath>
      </m:oMathPara>
    </w:p>
    <w:p>
      <w:pPr>
        <w:numPr>
          <w:ilvl w:val="0"/>
          <w:numId w:val="1048"/>
        </w:numPr>
      </w:pPr>
      <w:r>
        <w:rPr>
          <w:b/>
          <w:bCs/>
        </w:rPr>
        <w:t xml:space="preserve">Define the Total Factor Productivity (TFP) term,</w:t>
      </w:r>
      <w:r>
        <w:rPr>
          <w:b/>
          <w:bCs/>
        </w:rPr>
        <w:t xml:space="preserve"> </w:t>
      </w:r>
      <w:r>
        <w:rPr>
          <w:rStyle w:val="VerbatimChar"/>
          <w:b/>
          <w:bCs/>
        </w:rPr>
        <w:t xml:space="preserve">A(φ)</w:t>
      </w:r>
      <w:r>
        <w:rPr>
          <w:b/>
          <w:bCs/>
        </w:rPr>
        <w:t xml:space="preserve">.</w:t>
      </w:r>
      <w:r>
        <w:t xml:space="preserve"> </w:t>
      </w:r>
      <w:r>
        <w:t xml:space="preserve">We can now see that the entire expression inside the large brackets is the occupation-specific TFP,</w:t>
      </w:r>
      <w:r>
        <w:t xml:space="preserve"> </w:t>
      </w:r>
      <w:r>
        <w:rPr>
          <w:rStyle w:val="VerbatimChar"/>
        </w:rPr>
        <w:t xml:space="preserve">A(φ)</w:t>
      </w:r>
      <w:r>
        <w:t xml:space="preserve">. It captures the efficiency of production for a given occupation</w:t>
      </w:r>
      <w:r>
        <w:t xml:space="preserve"> </w:t>
      </w:r>
      <w:r>
        <w:rPr>
          <w:rStyle w:val="VerbatimChar"/>
        </w:rPr>
        <w:t xml:space="preserve">φ</w:t>
      </w:r>
      <w:r>
        <w:t xml:space="preserve">, which depends on the capital share</w:t>
      </w:r>
      <w:r>
        <w:t xml:space="preserve"> </w:t>
      </w:r>
      <w:r>
        <w:rPr>
          <w:rStyle w:val="VerbatimChar"/>
        </w:rPr>
        <w:t xml:space="preserve">α(φ)</w:t>
      </w:r>
      <w:r>
        <w:t xml:space="preserve"> </w:t>
      </w:r>
      <w:r>
        <w:t xml:space="preserve">and the productivity of capital</w:t>
      </w:r>
      <w:r>
        <w:t xml:space="preserve"> </w:t>
      </w:r>
      <w:r>
        <w:rPr>
          <w:rStyle w:val="VerbatimChar"/>
        </w:rPr>
        <w:t xml:space="preserve">η</w:t>
      </w:r>
      <w:r>
        <w:t xml:space="preserve">.</w:t>
      </w:r>
    </w:p>
    <w:p>
      <w:pPr>
        <w:pStyle w:val="BodyText"/>
      </w:pPr>
      <m:oMathPara>
        <m:oMathParaPr>
          <m:jc m:val="center"/>
        </m:oMathParaPr>
        <m:oMath>
          <m:r>
            <m:t>A</m:t>
          </m:r>
          <m:d>
            <m:dPr>
              <m:begChr m:val="("/>
              <m:sepChr m:val=""/>
              <m:endChr m:val=")"/>
              <m:grow/>
            </m:dPr>
            <m:e>
              <m:r>
                <m:t>ϕ</m:t>
              </m:r>
            </m:e>
          </m:d>
          <m:box>
            <m:boxPr>
              <m:opEmu m:val="on"/>
            </m:boxPr>
            <m:e>
              <m:r>
                <m:rPr>
                  <m:sty m:val="p"/>
                </m:rPr>
                <m:t>:=</m:t>
              </m:r>
            </m:e>
          </m:box>
          <m:sSup>
            <m:e>
              <m:d>
                <m:dPr>
                  <m:begChr m:val="("/>
                  <m:sepChr m:val=""/>
                  <m:endChr m:val=")"/>
                  <m:grow/>
                </m:dPr>
                <m:e>
                  <m:f>
                    <m:fPr>
                      <m:type m:val="bar"/>
                    </m:fPr>
                    <m:num>
                      <m:r>
                        <m:t>1</m:t>
                      </m:r>
                    </m:num>
                    <m:den>
                      <m:r>
                        <m:t>1</m:t>
                      </m:r>
                      <m:r>
                        <m:rPr>
                          <m:sty m:val="p"/>
                        </m:rPr>
                        <m:t>−</m:t>
                      </m:r>
                      <m:r>
                        <m:t>α</m:t>
                      </m:r>
                      <m:d>
                        <m:dPr>
                          <m:begChr m:val="("/>
                          <m:sepChr m:val=""/>
                          <m:endChr m:val=")"/>
                          <m:grow/>
                        </m:dPr>
                        <m:e>
                          <m:r>
                            <m:t>ϕ</m:t>
                          </m:r>
                        </m:e>
                      </m:d>
                    </m:den>
                  </m:f>
                </m:e>
              </m:d>
            </m:e>
            <m:sup>
              <m:r>
                <m:t>1</m:t>
              </m:r>
              <m:r>
                <m:rPr>
                  <m:sty m:val="p"/>
                </m:rPr>
                <m:t>−</m:t>
              </m:r>
              <m:r>
                <m:t>α</m:t>
              </m:r>
              <m:d>
                <m:dPr>
                  <m:begChr m:val="("/>
                  <m:sepChr m:val=""/>
                  <m:endChr m:val=")"/>
                  <m:grow/>
                </m:dPr>
                <m:e>
                  <m:r>
                    <m:t>ϕ</m:t>
                  </m:r>
                </m:e>
              </m:d>
            </m:sup>
          </m:sSup>
          <m:r>
            <m:rPr>
              <m:sty m:val="p"/>
            </m:rPr>
            <m:t>⋅</m:t>
          </m:r>
          <m:sSup>
            <m:e>
              <m:d>
                <m:dPr>
                  <m:begChr m:val="("/>
                  <m:sepChr m:val=""/>
                  <m:endChr m:val=")"/>
                  <m:grow/>
                </m:dPr>
                <m:e>
                  <m:f>
                    <m:fPr>
                      <m:type m:val="bar"/>
                    </m:fPr>
                    <m:num>
                      <m:r>
                        <m:t>η</m:t>
                      </m:r>
                    </m:num>
                    <m:den>
                      <m:r>
                        <m:t>α</m:t>
                      </m:r>
                      <m:d>
                        <m:dPr>
                          <m:begChr m:val="("/>
                          <m:sepChr m:val=""/>
                          <m:endChr m:val=")"/>
                          <m:grow/>
                        </m:dPr>
                        <m:e>
                          <m:r>
                            <m:t>ϕ</m:t>
                          </m:r>
                        </m:e>
                      </m:d>
                    </m:den>
                  </m:f>
                </m:e>
              </m:d>
            </m:e>
            <m:sup>
              <m:r>
                <m:t>α</m:t>
              </m:r>
              <m:d>
                <m:dPr>
                  <m:begChr m:val="("/>
                  <m:sepChr m:val=""/>
                  <m:endChr m:val=")"/>
                  <m:grow/>
                </m:dPr>
                <m:e>
                  <m:r>
                    <m:t>ϕ</m:t>
                  </m:r>
                </m:e>
              </m:d>
            </m:sup>
          </m:sSup>
        </m:oMath>
      </m:oMathPara>
    </w:p>
    <w:p>
      <w:pPr>
        <w:numPr>
          <w:ilvl w:val="0"/>
          <w:numId w:val="1048"/>
        </w:numPr>
      </w:pPr>
      <w:r>
        <w:rPr>
          <w:b/>
          <w:bCs/>
        </w:rPr>
        <w:t xml:space="preserve">Substitute</w:t>
      </w:r>
      <w:r>
        <w:rPr>
          <w:b/>
          <w:bCs/>
        </w:rPr>
        <w:t xml:space="preserve"> </w:t>
      </w:r>
      <w:r>
        <w:rPr>
          <w:rStyle w:val="VerbatimChar"/>
          <w:b/>
          <w:bCs/>
        </w:rPr>
        <w:t xml:space="preserve">A(φ)</w:t>
      </w:r>
      <w:r>
        <w:rPr>
          <w:b/>
          <w:bCs/>
        </w:rPr>
        <w:t xml:space="preserve"> </w:t>
      </w:r>
      <w:r>
        <w:rPr>
          <w:b/>
          <w:bCs/>
        </w:rPr>
        <w:t xml:space="preserve">back into the main equation.</w:t>
      </w:r>
      <w:r>
        <w:t xml:space="preserve"> </w:t>
      </w:r>
      <w:r>
        <w:t xml:space="preserve">By replacing the complex bracketed term with the simpler</w:t>
      </w:r>
      <w:r>
        <w:t xml:space="preserve"> </w:t>
      </w:r>
      <w:r>
        <w:rPr>
          <w:rStyle w:val="VerbatimChar"/>
        </w:rPr>
        <w:t xml:space="preserve">A(φ)</w:t>
      </w:r>
      <w:r>
        <w:t xml:space="preserve">, we arrive at the final, compact Cobb-Douglas form.</w:t>
      </w:r>
    </w:p>
    <w:p>
      <w:pPr>
        <w:pStyle w:val="BodyText"/>
      </w:pPr>
      <m:oMathPara>
        <m:oMathParaPr>
          <m:jc m:val="center"/>
        </m:oMathParaPr>
        <m:oMath>
          <m:r>
            <m:t>Y</m:t>
          </m:r>
          <m:d>
            <m:dPr>
              <m:begChr m:val="("/>
              <m:sepChr m:val=""/>
              <m:endChr m:val=")"/>
              <m:grow/>
            </m:dPr>
            <m:e>
              <m:r>
                <m:t>ϕ</m:t>
              </m:r>
            </m:e>
          </m:d>
          <m:r>
            <m:rPr>
              <m:sty m:val="p"/>
            </m:rPr>
            <m:t>=</m:t>
          </m:r>
          <m:r>
            <m:t>A</m:t>
          </m:r>
          <m:d>
            <m:dPr>
              <m:begChr m:val="("/>
              <m:sepChr m:val=""/>
              <m:endChr m:val=")"/>
              <m:grow/>
            </m:dPr>
            <m:e>
              <m:r>
                <m:t>ϕ</m:t>
              </m:r>
            </m:e>
          </m:d>
          <m:r>
            <m:t>L</m:t>
          </m:r>
          <m:sSup>
            <m:e>
              <m:d>
                <m:dPr>
                  <m:begChr m:val="("/>
                  <m:sepChr m:val=""/>
                  <m:endChr m:val=")"/>
                  <m:grow/>
                </m:dPr>
                <m:e>
                  <m:r>
                    <m:t>ϕ</m:t>
                  </m:r>
                </m:e>
              </m:d>
            </m:e>
            <m:sup>
              <m:r>
                <m:t>1</m:t>
              </m:r>
              <m:r>
                <m:rPr>
                  <m:sty m:val="p"/>
                </m:rPr>
                <m:t>−</m:t>
              </m:r>
              <m:r>
                <m:t>α</m:t>
              </m:r>
              <m:d>
                <m:dPr>
                  <m:begChr m:val="("/>
                  <m:sepChr m:val=""/>
                  <m:endChr m:val=")"/>
                  <m:grow/>
                </m:dPr>
                <m:e>
                  <m:r>
                    <m:t>ϕ</m:t>
                  </m:r>
                </m:e>
              </m:d>
            </m:sup>
          </m:sSup>
          <m:r>
            <m:t>K</m:t>
          </m:r>
          <m:sSup>
            <m:e>
              <m:d>
                <m:dPr>
                  <m:begChr m:val="("/>
                  <m:sepChr m:val=""/>
                  <m:endChr m:val=")"/>
                  <m:grow/>
                </m:dPr>
                <m:e>
                  <m:r>
                    <m:t>ϕ</m:t>
                  </m:r>
                </m:e>
              </m:d>
            </m:e>
            <m:sup>
              <m:r>
                <m:t>α</m:t>
              </m:r>
              <m:d>
                <m:dPr>
                  <m:begChr m:val="("/>
                  <m:sepChr m:val=""/>
                  <m:endChr m:val=")"/>
                  <m:grow/>
                </m:dPr>
                <m:e>
                  <m:r>
                    <m:t>ϕ</m:t>
                  </m:r>
                </m:e>
              </m:d>
            </m:sup>
          </m:sSup>
        </m:oMath>
      </m:oMathPara>
    </w:p>
    <w:p>
      <w:pPr>
        <w:pStyle w:val="FirstParagraph"/>
      </w:pPr>
      <w:r>
        <w:t xml:space="preserve">This completes the derivation. We have successfully shown that the linear aggregation of worker-level outputs, under the model’s assumptions, results in a standard Cobb-Douglas production function at the occupation level.</w:t>
      </w:r>
    </w:p>
    <w:bookmarkStart w:id="83" w:name="refs"/>
    <w:bookmarkStart w:id="74" w:name="ref-AutorThompson2025"/>
    <w:p>
      <w:pPr>
        <w:pStyle w:val="Bibliography"/>
      </w:pPr>
      <w:r>
        <w:t xml:space="preserve">Autor, David, and Neil Thompson. 2025.</w:t>
      </w:r>
      <w:r>
        <w:t xml:space="preserve"> </w:t>
      </w:r>
      <w:r>
        <w:t xml:space="preserve">“Expertise.”</w:t>
      </w:r>
      <w:r>
        <w:t xml:space="preserve"> </w:t>
      </w:r>
      <w:r>
        <w:rPr>
          <w:i/>
          <w:iCs/>
        </w:rPr>
        <w:t xml:space="preserve">Journal of the European Economic Association</w:t>
      </w:r>
      <w:r>
        <w:t xml:space="preserve"> </w:t>
      </w:r>
      <w:r>
        <w:t xml:space="preserve">23 (4): 1203–71.</w:t>
      </w:r>
      <w:r>
        <w:t xml:space="preserve"> </w:t>
      </w:r>
      <w:hyperlink r:id="rId73">
        <w:r>
          <w:rPr>
            <w:rStyle w:val="Hyperlink"/>
          </w:rPr>
          <w:t xml:space="preserve">https://doi.org/10.1093/jeea/jvaf023</w:t>
        </w:r>
      </w:hyperlink>
      <w:r>
        <w:t xml:space="preserve">.</w:t>
      </w:r>
    </w:p>
    <w:bookmarkEnd w:id="74"/>
    <w:bookmarkStart w:id="76" w:name="ref-BorusyakJaravelSpiess2024"/>
    <w:p>
      <w:pPr>
        <w:pStyle w:val="Bibliography"/>
      </w:pPr>
      <w:r>
        <w:t xml:space="preserve">Borusyak, Kirill, Xavier Jaravel, and Jann Spiess. 2024.</w:t>
      </w:r>
      <w:r>
        <w:t xml:space="preserve"> </w:t>
      </w:r>
      <w:r>
        <w:t xml:space="preserve">“Revisiting Event-Study Designs: Robust and Efficient Estimation.”</w:t>
      </w:r>
      <w:r>
        <w:t xml:space="preserve"> </w:t>
      </w:r>
      <w:r>
        <w:rPr>
          <w:i/>
          <w:iCs/>
        </w:rPr>
        <w:t xml:space="preserve">The Review of Economic Studies</w:t>
      </w:r>
      <w:r>
        <w:t xml:space="preserve"> </w:t>
      </w:r>
      <w:r>
        <w:t xml:space="preserve">91 (6): 3253–85.</w:t>
      </w:r>
      <w:r>
        <w:t xml:space="preserve"> </w:t>
      </w:r>
      <w:hyperlink r:id="rId75">
        <w:r>
          <w:rPr>
            <w:rStyle w:val="Hyperlink"/>
          </w:rPr>
          <w:t xml:space="preserve">https://doi.org/10.1093/restud/rdae007</w:t>
        </w:r>
      </w:hyperlink>
      <w:r>
        <w:t xml:space="preserve">.</w:t>
      </w:r>
    </w:p>
    <w:bookmarkEnd w:id="76"/>
    <w:bookmarkStart w:id="78" w:name="ref-CallawaySantAnna2021"/>
    <w:p>
      <w:pPr>
        <w:pStyle w:val="Bibliography"/>
      </w:pPr>
      <w:r>
        <w:t xml:space="preserve">Callaway, Brantly, and Pedro H. C. Sant’Anna. 2021.</w:t>
      </w:r>
      <w:r>
        <w:t xml:space="preserve"> </w:t>
      </w:r>
      <w:r>
        <w:t xml:space="preserve">“Difference-in-Differences with Multiple Time Periods.”</w:t>
      </w:r>
      <w:r>
        <w:t xml:space="preserve"> </w:t>
      </w:r>
      <w:r>
        <w:rPr>
          <w:i/>
          <w:iCs/>
        </w:rPr>
        <w:t xml:space="preserve">Journal of Econometrics</w:t>
      </w:r>
      <w:r>
        <w:t xml:space="preserve"> </w:t>
      </w:r>
      <w:r>
        <w:t xml:space="preserve">225 (2): 200–230. https://doi.org/</w:t>
      </w:r>
      <w:hyperlink r:id="rId77">
        <w:r>
          <w:rPr>
            <w:rStyle w:val="Hyperlink"/>
          </w:rPr>
          <w:t xml:space="preserve">https://doi.org/10.1016/j.jeconom.2020.12.001</w:t>
        </w:r>
      </w:hyperlink>
      <w:r>
        <w:t xml:space="preserve">.</w:t>
      </w:r>
    </w:p>
    <w:bookmarkEnd w:id="78"/>
    <w:bookmarkStart w:id="80" w:name="ref-dCDH2020"/>
    <w:p>
      <w:pPr>
        <w:pStyle w:val="Bibliography"/>
      </w:pPr>
      <w:r>
        <w:t xml:space="preserve">de Chaisemartin, Clément, and Xavier D’Haultfœuille. 2020.</w:t>
      </w:r>
      <w:r>
        <w:t xml:space="preserve"> </w:t>
      </w:r>
      <w:r>
        <w:t xml:space="preserve">“Two-Way Fixed Effects Estimators with Heterogeneous Treatment Effects.”</w:t>
      </w:r>
      <w:r>
        <w:t xml:space="preserve"> </w:t>
      </w:r>
      <w:r>
        <w:rPr>
          <w:i/>
          <w:iCs/>
        </w:rPr>
        <w:t xml:space="preserve">American Economic Review</w:t>
      </w:r>
      <w:r>
        <w:t xml:space="preserve"> </w:t>
      </w:r>
      <w:r>
        <w:t xml:space="preserve">110 (9): 2964–96.</w:t>
      </w:r>
      <w:r>
        <w:t xml:space="preserve"> </w:t>
      </w:r>
      <w:hyperlink r:id="rId79">
        <w:r>
          <w:rPr>
            <w:rStyle w:val="Hyperlink"/>
          </w:rPr>
          <w:t xml:space="preserve">https://doi.org/10.1257/aer.20181169</w:t>
        </w:r>
      </w:hyperlink>
      <w:r>
        <w:t xml:space="preserve">.</w:t>
      </w:r>
    </w:p>
    <w:bookmarkEnd w:id="80"/>
    <w:bookmarkStart w:id="82" w:name="ref-SunAbraham2021"/>
    <w:p>
      <w:pPr>
        <w:pStyle w:val="Bibliography"/>
      </w:pPr>
      <w:r>
        <w:t xml:space="preserve">Sun, Liyang, and Sarah Abraham. 2021.</w:t>
      </w:r>
      <w:r>
        <w:t xml:space="preserve"> </w:t>
      </w:r>
      <w:r>
        <w:t xml:space="preserve">“Estimating Dynamic Treatment Effects in Event Studies with Heterogeneous Treatment Effects.”</w:t>
      </w:r>
      <w:r>
        <w:t xml:space="preserve"> </w:t>
      </w:r>
      <w:r>
        <w:rPr>
          <w:i/>
          <w:iCs/>
        </w:rPr>
        <w:t xml:space="preserve">Journal of Econometrics</w:t>
      </w:r>
      <w:r>
        <w:t xml:space="preserve"> </w:t>
      </w:r>
      <w:r>
        <w:t xml:space="preserve">225 (2): 175–99. https://doi.org/</w:t>
      </w:r>
      <w:hyperlink r:id="rId81">
        <w:r>
          <w:rPr>
            <w:rStyle w:val="Hyperlink"/>
          </w:rPr>
          <w:t xml:space="preserve">https://doi.org/10.1016/j.jeconom.2020.09.006</w:t>
        </w:r>
      </w:hyperlink>
      <w:r>
        <w:t xml:space="preserve">.</w:t>
      </w:r>
    </w:p>
    <w:bookmarkEnd w:id="82"/>
    <w:bookmarkEnd w:id="83"/>
    <w:bookmarkEnd w:id="84"/>
    <w:bookmarkEnd w:id="85"/>
    <w:bookmarkEnd w:id="8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8">
    <w:p>
      <w:pPr>
        <w:pStyle w:val="FootnoteText"/>
      </w:pPr>
      <w:r>
        <w:rPr>
          <w:rStyle w:val="FootnoteReference"/>
        </w:rPr>
        <w:footnoteRef/>
      </w:r>
      <w:r>
        <w:t xml:space="preserve"> </w:t>
      </w:r>
      <w:r>
        <w:t xml:space="preserve">See</w:t>
      </w:r>
      <w:r>
        <w:t xml:space="preserve"> </w:t>
      </w:r>
      <w:r>
        <w:t xml:space="preserve">Autor and Thompson (</w:t>
      </w:r>
      <w:hyperlink w:anchor="ref-AutorThompson2025">
        <w:r>
          <w:rPr>
            <w:rStyle w:val="Hyperlink"/>
          </w:rPr>
          <w:t xml:space="preserve">2025</w:t>
        </w:r>
      </w:hyperlink>
      <w:r>
        <w:t xml:space="preserve">)</w:t>
      </w:r>
      <w:r>
        <w:t xml:space="preserve"> </w:t>
      </w:r>
      <w:r>
        <w:t xml:space="preserve">for a theory</w:t>
      </w:r>
      <w:r>
        <w:t xml:space="preserve"> </w:t>
      </w:r>
    </w:p>
  </w:footnote>
  <w:footnote w:id="29">
    <w:p>
      <w:pPr>
        <w:pStyle w:val="FootnoteText"/>
      </w:pPr>
      <w:r>
        <w:rPr>
          <w:rStyle w:val="FootnoteReference"/>
        </w:rPr>
        <w:footnoteRef/>
      </w:r>
      <w:r>
        <w:t xml:space="preserve"> </w:t>
      </w:r>
      <w:r>
        <w:t xml:space="preserve">Hence replacing high skilled workers</w:t>
      </w:r>
      <w:r>
        <w:t xml:space="preserve"> </w:t>
      </w:r>
    </w:p>
  </w:footnote>
  <w:footnote w:id="30">
    <w:p>
      <w:pPr>
        <w:pStyle w:val="FootnoteText"/>
      </w:pPr>
      <w:r>
        <w:rPr>
          <w:rStyle w:val="FootnoteReference"/>
        </w:rPr>
        <w:footnoteRef/>
      </w:r>
      <w:r>
        <w:t xml:space="preserve"> </w:t>
      </w:r>
      <w:r>
        <w:t xml:space="preserve">p.935:</w:t>
      </w:r>
      <w:r>
        <w:t xml:space="preserve"> </w:t>
      </w:r>
      <w:r>
        <w:t xml:space="preserve">In areas where the product or environment is changing rapidly, the relative value of AI recommendations may be different. … Indeed, recent work by</w:t>
      </w:r>
      <w:r>
        <w:t xml:space="preserve"> </w:t>
      </w:r>
      <w:hyperlink r:id="rId31">
        <w:r>
          <w:rPr>
            <w:rStyle w:val="Hyperlink"/>
          </w:rPr>
          <w:t xml:space="preserve">Perry et al. (2023)</w:t>
        </w:r>
      </w:hyperlink>
      <w:r>
        <w:t xml:space="preserve"> </w:t>
      </w:r>
      <w:r>
        <w:t xml:space="preserve">and</w:t>
      </w:r>
      <w:r>
        <w:t xml:space="preserve"> </w:t>
      </w:r>
      <w:hyperlink r:id="rId32">
        <w:r>
          <w:rPr>
            <w:rStyle w:val="Hyperlink"/>
          </w:rPr>
          <w:t xml:space="preserve">Otis et al. (2023)</w:t>
        </w:r>
      </w:hyperlink>
      <w:r>
        <w:t xml:space="preserve"> </w:t>
      </w:r>
      <w:r>
        <w:t xml:space="preserve">have found cases in which AI adoption has limited or even negative effects.</w:t>
      </w:r>
      <w:r>
        <w:t xml:space="preserve"> </w:t>
      </w:r>
    </w:p>
  </w:footnote>
  <w:footnote w:id="34">
    <w:p>
      <w:pPr>
        <w:pStyle w:val="FootnoteText"/>
      </w:pPr>
      <w:r>
        <w:rPr>
          <w:rStyle w:val="FootnoteReference"/>
        </w:rPr>
        <w:footnoteRef/>
      </w:r>
      <w:r>
        <w:t xml:space="preserve"> </w:t>
      </w:r>
      <w:r>
        <w:t xml:space="preserve">Chat GPT-3 based</w:t>
      </w:r>
      <w:r>
        <w:t xml:space="preserve"> </w:t>
      </w:r>
    </w:p>
  </w:footnote>
  <w:footnote w:id="35">
    <w:p>
      <w:pPr>
        <w:pStyle w:val="FootnoteText"/>
      </w:pPr>
      <w:r>
        <w:rPr>
          <w:rStyle w:val="FootnoteReference"/>
        </w:rPr>
        <w:footnoteRef/>
      </w:r>
      <w:r>
        <w:t xml:space="preserve"> </w:t>
      </w:r>
      <w:r>
        <w:t xml:space="preserve">No matter how it is expressed, this is exactly how replacement works: By substituting expertise with AI</w:t>
      </w:r>
      <w:r>
        <w:t xml:space="preserve"> </w:t>
      </w:r>
    </w:p>
  </w:footnote>
  <w:footnote w:id="42">
    <w:p>
      <w:pPr>
        <w:pStyle w:val="FootnoteText"/>
      </w:pPr>
      <w:r>
        <w:rPr>
          <w:rStyle w:val="FootnoteReference"/>
        </w:rPr>
        <w:footnoteRef/>
      </w:r>
    </w:p>
    <w:p>
      <w:pPr>
        <w:pStyle w:val="FootnoteText"/>
      </w:pPr>
      <w:r>
        <w:t xml:space="preserve">Not shown explicitly, but probably used cosign similarity</w:t>
      </w:r>
    </w:p>
    <w:p>
      <w:pPr>
        <w:pStyle w:val="FootnoteText"/>
      </w:pPr>
      <m:oMathPara>
        <m:oMathParaPr>
          <m:jc m:val="center"/>
        </m:oMathParaPr>
        <m:oMath>
          <m:f>
            <m:fPr>
              <m:type m:val="bar"/>
            </m:fPr>
            <m:num>
              <m:r>
                <m:rPr>
                  <m:sty m:val="b"/>
                </m:rPr>
                <m:t>A</m:t>
              </m:r>
              <m:r>
                <m:rPr>
                  <m:sty m:val="p"/>
                </m:rPr>
                <m:t>⋅</m:t>
              </m:r>
              <m:r>
                <m:rPr>
                  <m:sty m:val="b"/>
                </m:rPr>
                <m:t>B</m:t>
              </m:r>
            </m:num>
            <m:den>
              <m:r>
                <m:rPr>
                  <m:sty m:val="p"/>
                </m:rPr>
                <m:t>∥</m:t>
              </m:r>
              <m:r>
                <m:rPr>
                  <m:sty m:val="b"/>
                </m:rPr>
                <m:t>A</m:t>
              </m:r>
              <m:r>
                <m:rPr>
                  <m:sty m:val="p"/>
                </m:rPr>
                <m:t>∥</m:t>
              </m:r>
              <m:r>
                <m:rPr>
                  <m:sty m:val="p"/>
                </m:rPr>
                <m:t>∥</m:t>
              </m:r>
              <m:r>
                <m:rPr>
                  <m:sty m:val="b"/>
                </m:rPr>
                <m:t>B</m:t>
              </m:r>
              <m:r>
                <m:rPr>
                  <m:sty m:val="p"/>
                </m:rPr>
                <m:t>∥</m:t>
              </m:r>
            </m:den>
          </m:f>
          <m:r>
            <m:rPr>
              <m:sty m:val="p"/>
            </m:rPr>
            <m:t>=</m:t>
          </m:r>
          <m:f>
            <m:fPr>
              <m:type m:val="bar"/>
            </m:fPr>
            <m:num>
              <m:nary>
                <m:naryPr>
                  <m:chr m:val="∑"/>
                  <m:limLoc m:val="undOvr"/>
                  <m:subHide m:val="off"/>
                  <m:supHide m:val="off"/>
                </m:naryPr>
                <m:sub>
                  <m:r>
                    <m:t>i</m:t>
                  </m:r>
                  <m:r>
                    <m:rPr>
                      <m:sty m:val="p"/>
                    </m:rPr>
                    <m:t>=</m:t>
                  </m:r>
                  <m:r>
                    <m:t>1</m:t>
                  </m:r>
                </m:sub>
                <m:sup>
                  <m:r>
                    <m:t>n</m:t>
                  </m:r>
                </m:sup>
                <m:e>
                  <m:sSub>
                    <m:e>
                      <m:r>
                        <m:t>A</m:t>
                      </m:r>
                    </m:e>
                    <m:sub>
                      <m:r>
                        <m:t>i</m:t>
                      </m:r>
                    </m:sub>
                  </m:sSub>
                </m:e>
              </m:nary>
              <m:sSub>
                <m:e>
                  <m:r>
                    <m:t>B</m:t>
                  </m:r>
                </m:e>
                <m:sub>
                  <m:r>
                    <m:t>i</m:t>
                  </m:r>
                </m:sub>
              </m:sSub>
            </m:num>
            <m:den>
              <m:rad>
                <m:radPr>
                  <m:degHide m:val="on"/>
                </m:radPr>
                <m:deg/>
                <m:e>
                  <m:nary>
                    <m:naryPr>
                      <m:chr m:val="∑"/>
                      <m:limLoc m:val="undOvr"/>
                      <m:subHide m:val="off"/>
                      <m:supHide m:val="off"/>
                    </m:naryPr>
                    <m:sub>
                      <m:r>
                        <m:t>i</m:t>
                      </m:r>
                      <m:r>
                        <m:rPr>
                          <m:sty m:val="p"/>
                        </m:rPr>
                        <m:t>=</m:t>
                      </m:r>
                      <m:r>
                        <m:t>1</m:t>
                      </m:r>
                    </m:sub>
                    <m:sup>
                      <m:r>
                        <m:t>n</m:t>
                      </m:r>
                    </m:sup>
                    <m:e>
                      <m:sSubSup>
                        <m:e>
                          <m:r>
                            <m:t>A</m:t>
                          </m:r>
                        </m:e>
                        <m:sub>
                          <m:r>
                            <m:t>i</m:t>
                          </m:r>
                        </m:sub>
                        <m:sup>
                          <m:r>
                            <m:t>2</m:t>
                          </m:r>
                        </m:sup>
                      </m:sSubSup>
                    </m:e>
                  </m:nary>
                </m:e>
              </m:rad>
              <m:rad>
                <m:radPr>
                  <m:degHide m:val="on"/>
                </m:radPr>
                <m:deg/>
                <m:e>
                  <m:nary>
                    <m:naryPr>
                      <m:chr m:val="∑"/>
                      <m:limLoc m:val="undOvr"/>
                      <m:subHide m:val="off"/>
                      <m:supHide m:val="off"/>
                    </m:naryPr>
                    <m:sub>
                      <m:r>
                        <m:t>i</m:t>
                      </m:r>
                      <m:r>
                        <m:rPr>
                          <m:sty m:val="p"/>
                        </m:rPr>
                        <m:t>=</m:t>
                      </m:r>
                      <m:r>
                        <m:t>1</m:t>
                      </m:r>
                    </m:sub>
                    <m:sup>
                      <m:r>
                        <m:t>n</m:t>
                      </m:r>
                    </m:sup>
                    <m:e>
                      <m:sSubSup>
                        <m:e>
                          <m:r>
                            <m:t>B</m:t>
                          </m:r>
                        </m:e>
                        <m:sub>
                          <m:r>
                            <m:t>i</m:t>
                          </m:r>
                        </m:sub>
                        <m:sup>
                          <m:r>
                            <m:t>2</m:t>
                          </m:r>
                        </m:sup>
                      </m:sSubSup>
                    </m:e>
                  </m:nary>
                </m:e>
              </m:rad>
            </m:den>
          </m:f>
        </m:oMath>
      </m:oMathPara>
    </w:p>
    <w:p>
      <w:pPr>
        <w:pStyle w:val="FootnoteText"/>
      </w:pPr>
      <w:r>
        <w:t xml:space="preserve">where</w:t>
      </w:r>
      <w:r>
        <w:t xml:space="preserve"> </w:t>
      </w:r>
      <m:oMath>
        <m:r>
          <m:rPr>
            <m:sty m:val="b"/>
          </m:rPr>
          <m:t>A</m:t>
        </m:r>
      </m:oMath>
      <w:r>
        <w:t xml:space="preserve"> </w:t>
      </w:r>
      <w:r>
        <w:t xml:space="preserve">is a vector of 0 or 1 for all the words</w:t>
      </w:r>
    </w:p>
  </w:footnote>
  <w:footnote w:id="65">
    <w:p>
      <w:pPr>
        <w:pStyle w:val="FootnoteText"/>
      </w:pPr>
      <w:r>
        <w:rPr>
          <w:rStyle w:val="FootnoteReference"/>
        </w:rPr>
        <w:footnoteRef/>
      </w:r>
      <w:r>
        <w:t xml:space="preserve"> </w:t>
      </w:r>
      <w:r>
        <w:t xml:space="preserve">true? estimates are too noisey</w:t>
      </w:r>
      <w:r>
        <w:t xml:space="preserve"> </w:t>
      </w:r>
    </w:p>
  </w:footnote>
  <w:footnote w:id="66">
    <w:p>
      <w:pPr>
        <w:pStyle w:val="FootnoteText"/>
      </w:pPr>
      <w:r>
        <w:rPr>
          <w:rStyle w:val="FootnoteReference"/>
        </w:rPr>
        <w:footnoteRef/>
      </w:r>
      <w:r>
        <w:t xml:space="preserve"> </w:t>
      </w:r>
      <w:r>
        <w:t xml:space="preserve">P values are not shown for textual convergence</w:t>
      </w:r>
      <w:r>
        <w:t xml:space="preserve"> </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711">
    <w:nsid w:val="00A9971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7" Target="media/rId37.jpg" /><Relationship Type="http://schemas.openxmlformats.org/officeDocument/2006/relationships/image" Id="rId49" Target="media/rId49.jpg" /><Relationship Type="http://schemas.openxmlformats.org/officeDocument/2006/relationships/image" Id="rId21" Target="media/rId21.jpg" /><Relationship Type="http://schemas.openxmlformats.org/officeDocument/2006/relationships/image" Id="rId24" Target="media/rId24.jpg" /><Relationship Type="http://schemas.openxmlformats.org/officeDocument/2006/relationships/image" Id="rId62" Target="media/rId62.jpg" /><Relationship Type="http://schemas.openxmlformats.org/officeDocument/2006/relationships/image" Id="rId56" Target="media/rId56.jpg" /><Relationship Type="http://schemas.openxmlformats.org/officeDocument/2006/relationships/image" Id="rId59" Target="media/rId59.jpg" /><Relationship Type="http://schemas.openxmlformats.org/officeDocument/2006/relationships/hyperlink" Id="rId31" Target="https://arxiv.org/abs/2211.03622" TargetMode="External" /><Relationship Type="http://schemas.openxmlformats.org/officeDocument/2006/relationships/hyperlink" Id="rId81" Target="https://doi.org/10.1016/j.jeconom.2020.09.006" TargetMode="External" /><Relationship Type="http://schemas.openxmlformats.org/officeDocument/2006/relationships/hyperlink" Id="rId77" Target="https://doi.org/10.1016/j.jeconom.2020.12.001" TargetMode="External" /><Relationship Type="http://schemas.openxmlformats.org/officeDocument/2006/relationships/hyperlink" Id="rId20" Target="https://doi.org/10.1086/734780" TargetMode="External" /><Relationship Type="http://schemas.openxmlformats.org/officeDocument/2006/relationships/hyperlink" Id="rId73" Target="https://doi.org/10.1093/jeea/jvaf023" TargetMode="External" /><Relationship Type="http://schemas.openxmlformats.org/officeDocument/2006/relationships/hyperlink" Id="rId75" Target="https://doi.org/10.1093/restud/rdae007" TargetMode="External" /><Relationship Type="http://schemas.openxmlformats.org/officeDocument/2006/relationships/hyperlink" Id="rId79" Target="https://doi.org/10.1257/aer.20181169" TargetMode="External" /><Relationship Type="http://schemas.openxmlformats.org/officeDocument/2006/relationships/hyperlink" Id="rId43" Target="https://huggingface.co/siebert/sentiment-roberta-large-english" TargetMode="External" /><Relationship Type="http://schemas.openxmlformats.org/officeDocument/2006/relationships/hyperlink" Id="rId32" Target="https://papers.ssrn.com/sol3/papers.cfm?abstract_id=4671369" TargetMode="External" /></Relationships>
</file>

<file path=word/_rels/footnotes.xml.rels><?xml version="1.0" encoding="UTF-8"?><Relationships xmlns="http://schemas.openxmlformats.org/package/2006/relationships"><Relationship Type="http://schemas.openxmlformats.org/officeDocument/2006/relationships/hyperlink" Id="rId31" Target="https://arxiv.org/abs/2211.03622" TargetMode="External" /><Relationship Type="http://schemas.openxmlformats.org/officeDocument/2006/relationships/hyperlink" Id="rId81" Target="https://doi.org/10.1016/j.jeconom.2020.09.006" TargetMode="External" /><Relationship Type="http://schemas.openxmlformats.org/officeDocument/2006/relationships/hyperlink" Id="rId77" Target="https://doi.org/10.1016/j.jeconom.2020.12.001" TargetMode="External" /><Relationship Type="http://schemas.openxmlformats.org/officeDocument/2006/relationships/hyperlink" Id="rId20" Target="https://doi.org/10.1086/734780" TargetMode="External" /><Relationship Type="http://schemas.openxmlformats.org/officeDocument/2006/relationships/hyperlink" Id="rId73" Target="https://doi.org/10.1093/jeea/jvaf023" TargetMode="External" /><Relationship Type="http://schemas.openxmlformats.org/officeDocument/2006/relationships/hyperlink" Id="rId75" Target="https://doi.org/10.1093/restud/rdae007" TargetMode="External" /><Relationship Type="http://schemas.openxmlformats.org/officeDocument/2006/relationships/hyperlink" Id="rId79" Target="https://doi.org/10.1257/aer.20181169" TargetMode="External" /><Relationship Type="http://schemas.openxmlformats.org/officeDocument/2006/relationships/hyperlink" Id="rId43" Target="https://huggingface.co/siebert/sentiment-roberta-large-english" TargetMode="External" /><Relationship Type="http://schemas.openxmlformats.org/officeDocument/2006/relationships/hyperlink" Id="rId32" Target="https://papers.ssrn.com/sol3/papers.cfm?abstract_id=467136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Generative AI at work  Quarterly Journal of Economics 2025 (Volume 133), June (No.6)</dc:title>
  <dc:creator>Brynjolfsson, Li, Raymond</dc:creator>
  <cp:keywords/>
  <dcterms:created xsi:type="dcterms:W3CDTF">2025-08-22T11:49:20Z</dcterms:created>
  <dcterms:modified xsi:type="dcterms:W3CDTF">2025-08-22T11:49:20Z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ackgroundcolor">
    <vt:lpwstr>#fffcf2</vt:lpwstr>
  </property>
  <property fmtid="{D5CDD505-2E9C-101B-9397-08002B2CF9AE}" pid="4" name="biblio-config">
    <vt:lpwstr>True</vt:lpwstr>
  </property>
  <property fmtid="{D5CDD505-2E9C-101B-9397-08002B2CF9AE}" pid="5" name="bibliography">
    <vt:lpwstr>../seiro.bib</vt:lpwstr>
  </property>
  <property fmtid="{D5CDD505-2E9C-101B-9397-08002B2CF9AE}" pid="6" name="by-author">
    <vt:lpwstr/>
  </property>
  <property fmtid="{D5CDD505-2E9C-101B-9397-08002B2CF9AE}" pid="7" name="callout-appearance">
    <vt:lpwstr>simple</vt:lpwstr>
  </property>
  <property fmtid="{D5CDD505-2E9C-101B-9397-08002B2CF9AE}" pid="8" name="callout-icon">
    <vt:lpwstr>False</vt:lpwstr>
  </property>
  <property fmtid="{D5CDD505-2E9C-101B-9397-08002B2CF9AE}" pid="9" name="citation-location">
    <vt:lpwstr>margin</vt:lpwstr>
  </property>
  <property fmtid="{D5CDD505-2E9C-101B-9397-08002B2CF9AE}" pid="10" name="date">
    <vt:lpwstr>August 22, 2025, 11:08 +0000</vt:lpwstr>
  </property>
  <property fmtid="{D5CDD505-2E9C-101B-9397-08002B2CF9AE}" pid="11" name="date-format">
    <vt:lpwstr>MMMM DD, YYYY, HH:MM ZZ</vt:lpwstr>
  </property>
  <property fmtid="{D5CDD505-2E9C-101B-9397-08002B2CF9AE}" pid="12" name="doi-title">
    <vt:lpwstr>doi.org/10.1086/734780</vt:lpwstr>
  </property>
  <property fmtid="{D5CDD505-2E9C-101B-9397-08002B2CF9AE}" pid="13" name="execute">
    <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labels">
    <vt:lpwstr/>
  </property>
  <property fmtid="{D5CDD505-2E9C-101B-9397-08002B2CF9AE}" pid="18" name="lightbox">
    <vt:lpwstr>auto</vt:lpwstr>
  </property>
  <property fmtid="{D5CDD505-2E9C-101B-9397-08002B2CF9AE}" pid="19" name="link-citations">
    <vt:lpwstr>True</vt:lpwstr>
  </property>
  <property fmtid="{D5CDD505-2E9C-101B-9397-08002B2CF9AE}" pid="20" name="theme">
    <vt:lpwstr>sky</vt:lpwstr>
  </property>
  <property fmtid="{D5CDD505-2E9C-101B-9397-08002B2CF9AE}" pid="21" name="title-block-banner">
    <vt:lpwstr>#f0f3f5</vt:lpwstr>
  </property>
  <property fmtid="{D5CDD505-2E9C-101B-9397-08002B2CF9AE}" pid="22" name="title-block-banner-color">
    <vt:lpwstr>black</vt:lpwstr>
  </property>
  <property fmtid="{D5CDD505-2E9C-101B-9397-08002B2CF9AE}" pid="23" name="toc-title">
    <vt:lpwstr>Table of contents</vt:lpwstr>
  </property>
</Properties>
</file>